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黑体" w:hAnsi="黑体" w:eastAsia="黑体" w:cs="黑体"/>
          <w:b/>
          <w:color w:val="000000"/>
          <w:sz w:val="44"/>
        </w:rPr>
      </w:pPr>
      <w:r>
        <w:rPr>
          <w:rFonts w:ascii="黑体" w:hAnsi="黑体" w:eastAsia="黑体" w:cs="黑体"/>
          <w:b/>
          <w:color w:val="000000"/>
          <w:sz w:val="44"/>
        </w:rPr>
        <w:t>2023年部门预算信息公开</w:t>
      </w:r>
      <w:r>
        <w:rPr>
          <w:rFonts w:hint="eastAsia" w:ascii="黑体" w:hAnsi="黑体" w:eastAsia="黑体" w:cs="黑体"/>
          <w:b/>
          <w:color w:val="000000"/>
          <w:sz w:val="44"/>
        </w:rPr>
        <w:t>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5"/>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5"/>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5"/>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5"/>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5"/>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5"/>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Calibri" w:hAnsi="Calibri" w:eastAsia="方正小标宋_GBK" w:cs="方正小标宋_GBK"/>
          <w:color w:val="000000"/>
          <w:sz w:val="44"/>
        </w:rPr>
      </w:pPr>
    </w:p>
    <w:p>
      <w:pPr>
        <w:jc w:val="center"/>
        <w:rPr>
          <w:rFonts w:ascii="Calibri" w:hAnsi="Calibri" w:eastAsia="方正小标宋_GBK" w:cs="方正小标宋_GBK"/>
          <w:color w:val="000000"/>
          <w:sz w:val="44"/>
        </w:rPr>
      </w:pPr>
    </w:p>
    <w:p>
      <w:pPr>
        <w:jc w:val="center"/>
        <w:rPr>
          <w:rFonts w:ascii="Calibri" w:hAnsi="Calibri" w:eastAsia="方正小标宋_GBK" w:cs="方正小标宋_GBK"/>
          <w:color w:val="000000"/>
          <w:sz w:val="44"/>
        </w:rPr>
      </w:pPr>
    </w:p>
    <w:p>
      <w:pPr>
        <w:jc w:val="center"/>
        <w:rPr>
          <w:rFonts w:ascii="Calibri" w:hAnsi="Calibri" w:eastAsia="方正小标宋_GBK" w:cs="方正小标宋_GBK"/>
          <w:color w:val="000000"/>
          <w:sz w:val="44"/>
        </w:rPr>
      </w:pPr>
    </w:p>
    <w:p>
      <w:pPr>
        <w:jc w:val="center"/>
        <w:rPr>
          <w:rFonts w:ascii="Calibri" w:hAnsi="Calibri" w:eastAsia="方正小标宋_GBK" w:cs="方正小标宋_GBK"/>
          <w:color w:val="000000"/>
          <w:sz w:val="44"/>
        </w:rPr>
      </w:pPr>
    </w:p>
    <w:p>
      <w:pPr>
        <w:jc w:val="center"/>
        <w:rPr>
          <w:rFonts w:ascii="Calibri" w:hAnsi="Calibri" w:eastAsia="方正小标宋_GBK" w:cs="方正小标宋_GBK"/>
          <w:color w:val="000000"/>
          <w:sz w:val="44"/>
        </w:rPr>
      </w:pPr>
    </w:p>
    <w:p>
      <w:pPr>
        <w:jc w:val="center"/>
        <w:rPr>
          <w:rFonts w:ascii="Calibri" w:hAnsi="Calibri"/>
        </w:rPr>
      </w:pPr>
    </w:p>
    <w:p>
      <w:pPr>
        <w:jc w:val="center"/>
        <w:outlineLvl w:val="1"/>
        <w:rPr>
          <w:rFonts w:ascii="Calibri" w:hAnsi="Calibri" w:eastAsia="方正小标宋_GBK" w:cs="方正小标宋_GBK"/>
          <w:color w:val="000000"/>
          <w:sz w:val="72"/>
        </w:rPr>
      </w:pPr>
      <w:bookmarkStart w:id="0" w:name="_Toc_2_2_0000000001"/>
    </w:p>
    <w:p>
      <w:pPr>
        <w:jc w:val="center"/>
        <w:outlineLvl w:val="1"/>
        <w:rPr>
          <w:rFonts w:ascii="Calibri" w:hAnsi="Calibri" w:eastAsia="方正小标宋_GBK" w:cs="方正小标宋_GBK"/>
          <w:color w:val="000000"/>
          <w:sz w:val="72"/>
        </w:rPr>
      </w:pPr>
    </w:p>
    <w:p>
      <w:pPr>
        <w:jc w:val="center"/>
        <w:outlineLvl w:val="1"/>
        <w:rPr>
          <w:rFonts w:ascii="Calibri" w:hAnsi="Calibri" w:eastAsia="方正小标宋_GBK" w:cs="方正小标宋_GBK"/>
          <w:color w:val="000000"/>
          <w:sz w:val="72"/>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431河北省省直住房资金中心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2161.57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180.69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r>
              <w:t>0.01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pPr>
            <w:r>
              <w:t>2161.58</w:t>
            </w:r>
          </w:p>
        </w:tc>
        <w:tc>
          <w:tcPr>
            <w:tcW w:w="4535" w:type="dxa"/>
            <w:vAlign w:val="center"/>
          </w:tcPr>
          <w:p>
            <w:pPr>
              <w:pStyle w:val="18"/>
            </w:pPr>
            <w:r>
              <w:t>本年支出合计</w:t>
            </w:r>
          </w:p>
        </w:tc>
        <w:tc>
          <w:tcPr>
            <w:tcW w:w="2126" w:type="dxa"/>
            <w:vAlign w:val="center"/>
          </w:tcPr>
          <w:p>
            <w:pPr>
              <w:pStyle w:val="19"/>
            </w:pPr>
            <w:r>
              <w:t>2161.58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pPr>
            <w:r>
              <w:t>2161.58</w:t>
            </w:r>
          </w:p>
        </w:tc>
        <w:tc>
          <w:tcPr>
            <w:tcW w:w="4535" w:type="dxa"/>
            <w:vAlign w:val="center"/>
          </w:tcPr>
          <w:p>
            <w:pPr>
              <w:pStyle w:val="18"/>
            </w:pPr>
            <w:r>
              <w:t>支出总计</w:t>
            </w:r>
          </w:p>
        </w:tc>
        <w:tc>
          <w:tcPr>
            <w:tcW w:w="2126" w:type="dxa"/>
            <w:vAlign w:val="center"/>
          </w:tcPr>
          <w:p>
            <w:pPr>
              <w:pStyle w:val="19"/>
            </w:pPr>
            <w:r>
              <w:t>2161.58</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431河北省省直住房资金中心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2161.58</w:t>
            </w:r>
          </w:p>
        </w:tc>
        <w:tc>
          <w:tcPr>
            <w:tcW w:w="1134" w:type="dxa"/>
            <w:vAlign w:val="center"/>
          </w:tcPr>
          <w:p>
            <w:pPr>
              <w:pStyle w:val="19"/>
            </w:pPr>
            <w:r>
              <w:t>2161.58</w:t>
            </w:r>
          </w:p>
        </w:tc>
        <w:tc>
          <w:tcPr>
            <w:tcW w:w="1134" w:type="dxa"/>
            <w:vAlign w:val="center"/>
          </w:tcPr>
          <w:p>
            <w:pPr>
              <w:pStyle w:val="19"/>
            </w:pPr>
            <w:r>
              <w:t>2161.57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180.69</w:t>
            </w:r>
          </w:p>
        </w:tc>
        <w:tc>
          <w:tcPr>
            <w:tcW w:w="1134" w:type="dxa"/>
            <w:vAlign w:val="center"/>
          </w:tcPr>
          <w:p>
            <w:pPr>
              <w:pStyle w:val="15"/>
            </w:pPr>
            <w:r>
              <w:t>180.69</w:t>
            </w:r>
          </w:p>
        </w:tc>
        <w:tc>
          <w:tcPr>
            <w:tcW w:w="1134" w:type="dxa"/>
            <w:vAlign w:val="center"/>
          </w:tcPr>
          <w:p>
            <w:pPr>
              <w:pStyle w:val="15"/>
            </w:pPr>
            <w:r>
              <w:t>180.69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180.69</w:t>
            </w:r>
          </w:p>
        </w:tc>
        <w:tc>
          <w:tcPr>
            <w:tcW w:w="1134" w:type="dxa"/>
            <w:vAlign w:val="center"/>
          </w:tcPr>
          <w:p>
            <w:pPr>
              <w:pStyle w:val="15"/>
            </w:pPr>
            <w:r>
              <w:t>180.69</w:t>
            </w:r>
          </w:p>
        </w:tc>
        <w:tc>
          <w:tcPr>
            <w:tcW w:w="1134" w:type="dxa"/>
            <w:vAlign w:val="center"/>
          </w:tcPr>
          <w:p>
            <w:pPr>
              <w:pStyle w:val="15"/>
            </w:pPr>
            <w:r>
              <w:t>180.69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12.22</w:t>
            </w:r>
          </w:p>
        </w:tc>
        <w:tc>
          <w:tcPr>
            <w:tcW w:w="1134" w:type="dxa"/>
            <w:vAlign w:val="center"/>
          </w:tcPr>
          <w:p>
            <w:pPr>
              <w:pStyle w:val="15"/>
            </w:pPr>
            <w:r>
              <w:t>12.22</w:t>
            </w:r>
          </w:p>
        </w:tc>
        <w:tc>
          <w:tcPr>
            <w:tcW w:w="1134" w:type="dxa"/>
            <w:vAlign w:val="center"/>
          </w:tcPr>
          <w:p>
            <w:pPr>
              <w:pStyle w:val="15"/>
            </w:pPr>
            <w:r>
              <w:t>12.22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112.31</w:t>
            </w:r>
          </w:p>
        </w:tc>
        <w:tc>
          <w:tcPr>
            <w:tcW w:w="1134" w:type="dxa"/>
            <w:vAlign w:val="center"/>
          </w:tcPr>
          <w:p>
            <w:pPr>
              <w:pStyle w:val="15"/>
            </w:pPr>
            <w:r>
              <w:t>112.31</w:t>
            </w:r>
          </w:p>
        </w:tc>
        <w:tc>
          <w:tcPr>
            <w:tcW w:w="1134" w:type="dxa"/>
            <w:vAlign w:val="center"/>
          </w:tcPr>
          <w:p>
            <w:pPr>
              <w:pStyle w:val="15"/>
            </w:pPr>
            <w:r>
              <w:t>112.31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56.16</w:t>
            </w:r>
          </w:p>
        </w:tc>
        <w:tc>
          <w:tcPr>
            <w:tcW w:w="1134" w:type="dxa"/>
            <w:vAlign w:val="center"/>
          </w:tcPr>
          <w:p>
            <w:pPr>
              <w:pStyle w:val="15"/>
            </w:pPr>
            <w:r>
              <w:t>56.16</w:t>
            </w:r>
          </w:p>
        </w:tc>
        <w:tc>
          <w:tcPr>
            <w:tcW w:w="1134" w:type="dxa"/>
            <w:vAlign w:val="center"/>
          </w:tcPr>
          <w:p>
            <w:pPr>
              <w:pStyle w:val="15"/>
            </w:pPr>
            <w:r>
              <w:t>56.16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126.36</w:t>
            </w:r>
          </w:p>
        </w:tc>
        <w:tc>
          <w:tcPr>
            <w:tcW w:w="1134" w:type="dxa"/>
            <w:vAlign w:val="center"/>
          </w:tcPr>
          <w:p>
            <w:pPr>
              <w:pStyle w:val="15"/>
            </w:pPr>
            <w:r>
              <w:t>126.36</w:t>
            </w:r>
          </w:p>
        </w:tc>
        <w:tc>
          <w:tcPr>
            <w:tcW w:w="1134" w:type="dxa"/>
            <w:vAlign w:val="center"/>
          </w:tcPr>
          <w:p>
            <w:pPr>
              <w:pStyle w:val="15"/>
            </w:pPr>
            <w:r>
              <w:t>126.36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126.36</w:t>
            </w:r>
          </w:p>
        </w:tc>
        <w:tc>
          <w:tcPr>
            <w:tcW w:w="1134" w:type="dxa"/>
            <w:vAlign w:val="center"/>
          </w:tcPr>
          <w:p>
            <w:pPr>
              <w:pStyle w:val="15"/>
            </w:pPr>
            <w:r>
              <w:t>126.36</w:t>
            </w:r>
          </w:p>
        </w:tc>
        <w:tc>
          <w:tcPr>
            <w:tcW w:w="1134" w:type="dxa"/>
            <w:vAlign w:val="center"/>
          </w:tcPr>
          <w:p>
            <w:pPr>
              <w:pStyle w:val="15"/>
            </w:pPr>
            <w:r>
              <w:t>126.36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126.36</w:t>
            </w:r>
          </w:p>
        </w:tc>
        <w:tc>
          <w:tcPr>
            <w:tcW w:w="1134" w:type="dxa"/>
            <w:vAlign w:val="center"/>
          </w:tcPr>
          <w:p>
            <w:pPr>
              <w:pStyle w:val="15"/>
            </w:pPr>
            <w:r>
              <w:t>126.36</w:t>
            </w:r>
          </w:p>
        </w:tc>
        <w:tc>
          <w:tcPr>
            <w:tcW w:w="1134" w:type="dxa"/>
            <w:vAlign w:val="center"/>
          </w:tcPr>
          <w:p>
            <w:pPr>
              <w:pStyle w:val="15"/>
            </w:pPr>
            <w:r>
              <w:t>126.36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1854.53</w:t>
            </w:r>
          </w:p>
        </w:tc>
        <w:tc>
          <w:tcPr>
            <w:tcW w:w="1134" w:type="dxa"/>
            <w:vAlign w:val="center"/>
          </w:tcPr>
          <w:p>
            <w:pPr>
              <w:pStyle w:val="15"/>
            </w:pPr>
            <w:r>
              <w:t>1854.53</w:t>
            </w:r>
          </w:p>
        </w:tc>
        <w:tc>
          <w:tcPr>
            <w:tcW w:w="1134" w:type="dxa"/>
            <w:vAlign w:val="center"/>
          </w:tcPr>
          <w:p>
            <w:pPr>
              <w:pStyle w:val="15"/>
            </w:pPr>
            <w:r>
              <w:t>1854.52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22103</w:t>
            </w:r>
          </w:p>
        </w:tc>
        <w:tc>
          <w:tcPr>
            <w:tcW w:w="1559" w:type="dxa"/>
            <w:vAlign w:val="center"/>
          </w:tcPr>
          <w:p>
            <w:pPr>
              <w:pStyle w:val="16"/>
            </w:pPr>
            <w:r>
              <w:t>城乡社区住宅</w:t>
            </w:r>
          </w:p>
        </w:tc>
        <w:tc>
          <w:tcPr>
            <w:tcW w:w="1134" w:type="dxa"/>
            <w:vAlign w:val="center"/>
          </w:tcPr>
          <w:p>
            <w:pPr>
              <w:pStyle w:val="15"/>
            </w:pPr>
            <w:r>
              <w:t>1761.53</w:t>
            </w:r>
          </w:p>
        </w:tc>
        <w:tc>
          <w:tcPr>
            <w:tcW w:w="1134" w:type="dxa"/>
            <w:vAlign w:val="center"/>
          </w:tcPr>
          <w:p>
            <w:pPr>
              <w:pStyle w:val="15"/>
            </w:pPr>
            <w:r>
              <w:t>1761.53</w:t>
            </w:r>
          </w:p>
        </w:tc>
        <w:tc>
          <w:tcPr>
            <w:tcW w:w="1134" w:type="dxa"/>
            <w:vAlign w:val="center"/>
          </w:tcPr>
          <w:p>
            <w:pPr>
              <w:pStyle w:val="15"/>
            </w:pPr>
            <w:r>
              <w:t>1761.52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7"/>
            </w:pPr>
            <w:r>
              <w:t>14</w:t>
            </w:r>
          </w:p>
        </w:tc>
        <w:tc>
          <w:tcPr>
            <w:tcW w:w="992" w:type="dxa"/>
            <w:vAlign w:val="center"/>
          </w:tcPr>
          <w:p>
            <w:pPr>
              <w:pStyle w:val="16"/>
            </w:pPr>
            <w:r>
              <w:t>2210302</w:t>
            </w:r>
          </w:p>
        </w:tc>
        <w:tc>
          <w:tcPr>
            <w:tcW w:w="1559" w:type="dxa"/>
            <w:vAlign w:val="center"/>
          </w:tcPr>
          <w:p>
            <w:pPr>
              <w:pStyle w:val="16"/>
            </w:pPr>
            <w:r>
              <w:t>住房公积金管理</w:t>
            </w:r>
          </w:p>
        </w:tc>
        <w:tc>
          <w:tcPr>
            <w:tcW w:w="1134" w:type="dxa"/>
            <w:vAlign w:val="center"/>
          </w:tcPr>
          <w:p>
            <w:pPr>
              <w:pStyle w:val="15"/>
            </w:pPr>
            <w:r>
              <w:t>1761.53</w:t>
            </w:r>
          </w:p>
        </w:tc>
        <w:tc>
          <w:tcPr>
            <w:tcW w:w="1134" w:type="dxa"/>
            <w:vAlign w:val="center"/>
          </w:tcPr>
          <w:p>
            <w:pPr>
              <w:pStyle w:val="15"/>
            </w:pPr>
            <w:r>
              <w:t>1761.53</w:t>
            </w:r>
          </w:p>
        </w:tc>
        <w:tc>
          <w:tcPr>
            <w:tcW w:w="1134" w:type="dxa"/>
            <w:vAlign w:val="center"/>
          </w:tcPr>
          <w:p>
            <w:pPr>
              <w:pStyle w:val="15"/>
            </w:pPr>
            <w:r>
              <w:t>1761.52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2161.58</w:t>
            </w:r>
          </w:p>
        </w:tc>
        <w:tc>
          <w:tcPr>
            <w:tcW w:w="1361" w:type="dxa"/>
            <w:vAlign w:val="center"/>
          </w:tcPr>
          <w:p>
            <w:pPr>
              <w:pStyle w:val="19"/>
            </w:pPr>
            <w:r>
              <w:t>1532.78</w:t>
            </w:r>
          </w:p>
        </w:tc>
        <w:tc>
          <w:tcPr>
            <w:tcW w:w="1361" w:type="dxa"/>
            <w:vAlign w:val="center"/>
          </w:tcPr>
          <w:p>
            <w:pPr>
              <w:pStyle w:val="19"/>
            </w:pPr>
            <w:r>
              <w:t>628.80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180.69</w:t>
            </w:r>
          </w:p>
        </w:tc>
        <w:tc>
          <w:tcPr>
            <w:tcW w:w="1361" w:type="dxa"/>
            <w:vAlign w:val="center"/>
          </w:tcPr>
          <w:p>
            <w:pPr>
              <w:pStyle w:val="15"/>
            </w:pPr>
            <w:r>
              <w:t>180.69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180.69</w:t>
            </w:r>
          </w:p>
        </w:tc>
        <w:tc>
          <w:tcPr>
            <w:tcW w:w="1361" w:type="dxa"/>
            <w:vAlign w:val="center"/>
          </w:tcPr>
          <w:p>
            <w:pPr>
              <w:pStyle w:val="15"/>
            </w:pPr>
            <w:r>
              <w:t>180.69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6" w:type="dxa"/>
            <w:vAlign w:val="center"/>
          </w:tcPr>
          <w:p>
            <w:pPr>
              <w:pStyle w:val="16"/>
            </w:pPr>
            <w:r>
              <w:t>事业单位离退休</w:t>
            </w:r>
          </w:p>
        </w:tc>
        <w:tc>
          <w:tcPr>
            <w:tcW w:w="1361" w:type="dxa"/>
            <w:vAlign w:val="center"/>
          </w:tcPr>
          <w:p>
            <w:pPr>
              <w:pStyle w:val="15"/>
            </w:pPr>
            <w:r>
              <w:t>12.22</w:t>
            </w:r>
          </w:p>
        </w:tc>
        <w:tc>
          <w:tcPr>
            <w:tcW w:w="1361" w:type="dxa"/>
            <w:vAlign w:val="center"/>
          </w:tcPr>
          <w:p>
            <w:pPr>
              <w:pStyle w:val="15"/>
            </w:pPr>
            <w:r>
              <w:t>12.22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112.31</w:t>
            </w:r>
          </w:p>
        </w:tc>
        <w:tc>
          <w:tcPr>
            <w:tcW w:w="1361" w:type="dxa"/>
            <w:vAlign w:val="center"/>
          </w:tcPr>
          <w:p>
            <w:pPr>
              <w:pStyle w:val="15"/>
            </w:pPr>
            <w:r>
              <w:t>112.31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56.16</w:t>
            </w:r>
          </w:p>
        </w:tc>
        <w:tc>
          <w:tcPr>
            <w:tcW w:w="1361" w:type="dxa"/>
            <w:vAlign w:val="center"/>
          </w:tcPr>
          <w:p>
            <w:pPr>
              <w:pStyle w:val="15"/>
            </w:pPr>
            <w:r>
              <w:t>56.16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126.36</w:t>
            </w:r>
          </w:p>
        </w:tc>
        <w:tc>
          <w:tcPr>
            <w:tcW w:w="1361" w:type="dxa"/>
            <w:vAlign w:val="center"/>
          </w:tcPr>
          <w:p>
            <w:pPr>
              <w:pStyle w:val="15"/>
            </w:pPr>
            <w:r>
              <w:t>126.36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126.36</w:t>
            </w:r>
          </w:p>
        </w:tc>
        <w:tc>
          <w:tcPr>
            <w:tcW w:w="1361" w:type="dxa"/>
            <w:vAlign w:val="center"/>
          </w:tcPr>
          <w:p>
            <w:pPr>
              <w:pStyle w:val="15"/>
            </w:pPr>
            <w:r>
              <w:t>126.36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126.36</w:t>
            </w:r>
          </w:p>
        </w:tc>
        <w:tc>
          <w:tcPr>
            <w:tcW w:w="1361" w:type="dxa"/>
            <w:vAlign w:val="center"/>
          </w:tcPr>
          <w:p>
            <w:pPr>
              <w:pStyle w:val="15"/>
            </w:pPr>
            <w:r>
              <w:t>126.36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1854.53</w:t>
            </w:r>
          </w:p>
        </w:tc>
        <w:tc>
          <w:tcPr>
            <w:tcW w:w="1361" w:type="dxa"/>
            <w:vAlign w:val="center"/>
          </w:tcPr>
          <w:p>
            <w:pPr>
              <w:pStyle w:val="15"/>
            </w:pPr>
            <w:r>
              <w:t>1225.73</w:t>
            </w:r>
          </w:p>
        </w:tc>
        <w:tc>
          <w:tcPr>
            <w:tcW w:w="1361" w:type="dxa"/>
            <w:vAlign w:val="center"/>
          </w:tcPr>
          <w:p>
            <w:pPr>
              <w:pStyle w:val="15"/>
            </w:pPr>
            <w:r>
              <w:t>628.80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93.00</w:t>
            </w:r>
          </w:p>
        </w:tc>
        <w:tc>
          <w:tcPr>
            <w:tcW w:w="1361" w:type="dxa"/>
            <w:vAlign w:val="center"/>
          </w:tcPr>
          <w:p>
            <w:pPr>
              <w:pStyle w:val="15"/>
            </w:pPr>
            <w:r>
              <w:t>93.00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93.00</w:t>
            </w:r>
          </w:p>
        </w:tc>
        <w:tc>
          <w:tcPr>
            <w:tcW w:w="1361" w:type="dxa"/>
            <w:vAlign w:val="center"/>
          </w:tcPr>
          <w:p>
            <w:pPr>
              <w:pStyle w:val="15"/>
            </w:pPr>
            <w:r>
              <w:t>93.00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22103</w:t>
            </w:r>
          </w:p>
        </w:tc>
        <w:tc>
          <w:tcPr>
            <w:tcW w:w="4536" w:type="dxa"/>
            <w:vAlign w:val="center"/>
          </w:tcPr>
          <w:p>
            <w:pPr>
              <w:pStyle w:val="16"/>
            </w:pPr>
            <w:r>
              <w:t>城乡社区住宅</w:t>
            </w:r>
          </w:p>
        </w:tc>
        <w:tc>
          <w:tcPr>
            <w:tcW w:w="1361" w:type="dxa"/>
            <w:vAlign w:val="center"/>
          </w:tcPr>
          <w:p>
            <w:pPr>
              <w:pStyle w:val="15"/>
            </w:pPr>
            <w:r>
              <w:t>1761.53</w:t>
            </w:r>
          </w:p>
        </w:tc>
        <w:tc>
          <w:tcPr>
            <w:tcW w:w="1361" w:type="dxa"/>
            <w:vAlign w:val="center"/>
          </w:tcPr>
          <w:p>
            <w:pPr>
              <w:pStyle w:val="15"/>
            </w:pPr>
            <w:r>
              <w:t>1132.73</w:t>
            </w:r>
          </w:p>
        </w:tc>
        <w:tc>
          <w:tcPr>
            <w:tcW w:w="1361" w:type="dxa"/>
            <w:vAlign w:val="center"/>
          </w:tcPr>
          <w:p>
            <w:pPr>
              <w:pStyle w:val="15"/>
            </w:pPr>
            <w:r>
              <w:t>628.80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2210302</w:t>
            </w:r>
          </w:p>
        </w:tc>
        <w:tc>
          <w:tcPr>
            <w:tcW w:w="4536" w:type="dxa"/>
            <w:vAlign w:val="center"/>
          </w:tcPr>
          <w:p>
            <w:pPr>
              <w:pStyle w:val="16"/>
            </w:pPr>
            <w:r>
              <w:t>住房公积金管理</w:t>
            </w:r>
          </w:p>
        </w:tc>
        <w:tc>
          <w:tcPr>
            <w:tcW w:w="1361" w:type="dxa"/>
            <w:vAlign w:val="center"/>
          </w:tcPr>
          <w:p>
            <w:pPr>
              <w:pStyle w:val="15"/>
            </w:pPr>
            <w:r>
              <w:t>1761.53</w:t>
            </w:r>
          </w:p>
        </w:tc>
        <w:tc>
          <w:tcPr>
            <w:tcW w:w="1361" w:type="dxa"/>
            <w:vAlign w:val="center"/>
          </w:tcPr>
          <w:p>
            <w:pPr>
              <w:pStyle w:val="15"/>
            </w:pPr>
            <w:r>
              <w:t>1132.73</w:t>
            </w:r>
          </w:p>
        </w:tc>
        <w:tc>
          <w:tcPr>
            <w:tcW w:w="1361" w:type="dxa"/>
            <w:vAlign w:val="center"/>
          </w:tcPr>
          <w:p>
            <w:pPr>
              <w:pStyle w:val="15"/>
            </w:pPr>
            <w:r>
              <w:t>628.80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2161.57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180.69</w:t>
            </w:r>
          </w:p>
        </w:tc>
        <w:tc>
          <w:tcPr>
            <w:tcW w:w="1474" w:type="dxa"/>
            <w:vAlign w:val="center"/>
          </w:tcPr>
          <w:p>
            <w:pPr>
              <w:pStyle w:val="15"/>
            </w:pPr>
            <w:r>
              <w:t>180.69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126.36</w:t>
            </w:r>
          </w:p>
        </w:tc>
        <w:tc>
          <w:tcPr>
            <w:tcW w:w="1474" w:type="dxa"/>
            <w:vAlign w:val="center"/>
          </w:tcPr>
          <w:p>
            <w:pPr>
              <w:pStyle w:val="15"/>
            </w:pPr>
            <w:r>
              <w:t>126.36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1854.52</w:t>
            </w:r>
          </w:p>
        </w:tc>
        <w:tc>
          <w:tcPr>
            <w:tcW w:w="1474" w:type="dxa"/>
            <w:vAlign w:val="center"/>
          </w:tcPr>
          <w:p>
            <w:pPr>
              <w:pStyle w:val="15"/>
            </w:pPr>
            <w:r>
              <w:t>1854.52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2161.57</w:t>
            </w:r>
          </w:p>
        </w:tc>
        <w:tc>
          <w:tcPr>
            <w:tcW w:w="3402" w:type="dxa"/>
            <w:vAlign w:val="center"/>
          </w:tcPr>
          <w:p>
            <w:pPr>
              <w:pStyle w:val="18"/>
            </w:pPr>
            <w:r>
              <w:t>本年支出合计</w:t>
            </w:r>
          </w:p>
        </w:tc>
        <w:tc>
          <w:tcPr>
            <w:tcW w:w="1474" w:type="dxa"/>
            <w:vAlign w:val="center"/>
          </w:tcPr>
          <w:p>
            <w:pPr>
              <w:pStyle w:val="19"/>
            </w:pPr>
            <w:r>
              <w:t>2161.57</w:t>
            </w:r>
          </w:p>
        </w:tc>
        <w:tc>
          <w:tcPr>
            <w:tcW w:w="1474" w:type="dxa"/>
            <w:vAlign w:val="center"/>
          </w:tcPr>
          <w:p>
            <w:pPr>
              <w:pStyle w:val="19"/>
            </w:pPr>
            <w:r>
              <w:t>2161.57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2161.57</w:t>
            </w:r>
          </w:p>
        </w:tc>
        <w:tc>
          <w:tcPr>
            <w:tcW w:w="3402" w:type="dxa"/>
            <w:vAlign w:val="center"/>
          </w:tcPr>
          <w:p>
            <w:pPr>
              <w:pStyle w:val="18"/>
            </w:pPr>
            <w:r>
              <w:t>支出总计</w:t>
            </w:r>
          </w:p>
        </w:tc>
        <w:tc>
          <w:tcPr>
            <w:tcW w:w="1474" w:type="dxa"/>
            <w:vAlign w:val="center"/>
          </w:tcPr>
          <w:p>
            <w:pPr>
              <w:pStyle w:val="19"/>
            </w:pPr>
            <w:r>
              <w:t>2161.57</w:t>
            </w:r>
          </w:p>
        </w:tc>
        <w:tc>
          <w:tcPr>
            <w:tcW w:w="1474" w:type="dxa"/>
            <w:vAlign w:val="center"/>
          </w:tcPr>
          <w:p>
            <w:pPr>
              <w:pStyle w:val="19"/>
            </w:pPr>
            <w:r>
              <w:t>2161.57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2161.57</w:t>
            </w:r>
          </w:p>
        </w:tc>
        <w:tc>
          <w:tcPr>
            <w:tcW w:w="2551" w:type="dxa"/>
            <w:vAlign w:val="center"/>
          </w:tcPr>
          <w:p>
            <w:pPr>
              <w:pStyle w:val="19"/>
            </w:pPr>
            <w:r>
              <w:t>1532.77</w:t>
            </w:r>
          </w:p>
        </w:tc>
        <w:tc>
          <w:tcPr>
            <w:tcW w:w="2551" w:type="dxa"/>
            <w:vAlign w:val="center"/>
          </w:tcPr>
          <w:p>
            <w:pPr>
              <w:pStyle w:val="19"/>
            </w:pPr>
            <w:r>
              <w:t>628.80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180.69</w:t>
            </w:r>
          </w:p>
        </w:tc>
        <w:tc>
          <w:tcPr>
            <w:tcW w:w="2551" w:type="dxa"/>
            <w:vAlign w:val="center"/>
          </w:tcPr>
          <w:p>
            <w:pPr>
              <w:pStyle w:val="15"/>
            </w:pPr>
            <w:r>
              <w:t>180.69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180.69</w:t>
            </w:r>
          </w:p>
        </w:tc>
        <w:tc>
          <w:tcPr>
            <w:tcW w:w="2551" w:type="dxa"/>
            <w:vAlign w:val="center"/>
          </w:tcPr>
          <w:p>
            <w:pPr>
              <w:pStyle w:val="15"/>
            </w:pPr>
            <w:r>
              <w:t>180.69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12.22</w:t>
            </w:r>
          </w:p>
        </w:tc>
        <w:tc>
          <w:tcPr>
            <w:tcW w:w="2551" w:type="dxa"/>
            <w:vAlign w:val="center"/>
          </w:tcPr>
          <w:p>
            <w:pPr>
              <w:pStyle w:val="15"/>
            </w:pPr>
            <w:r>
              <w:t>12.22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112.31</w:t>
            </w:r>
          </w:p>
        </w:tc>
        <w:tc>
          <w:tcPr>
            <w:tcW w:w="2551" w:type="dxa"/>
            <w:vAlign w:val="center"/>
          </w:tcPr>
          <w:p>
            <w:pPr>
              <w:pStyle w:val="15"/>
            </w:pPr>
            <w:r>
              <w:t>112.31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56.16</w:t>
            </w:r>
          </w:p>
        </w:tc>
        <w:tc>
          <w:tcPr>
            <w:tcW w:w="2551" w:type="dxa"/>
            <w:vAlign w:val="center"/>
          </w:tcPr>
          <w:p>
            <w:pPr>
              <w:pStyle w:val="15"/>
            </w:pPr>
            <w:r>
              <w:t>56.16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126.36</w:t>
            </w:r>
          </w:p>
        </w:tc>
        <w:tc>
          <w:tcPr>
            <w:tcW w:w="2551" w:type="dxa"/>
            <w:vAlign w:val="center"/>
          </w:tcPr>
          <w:p>
            <w:pPr>
              <w:pStyle w:val="15"/>
            </w:pPr>
            <w:r>
              <w:t>126.36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126.36</w:t>
            </w:r>
          </w:p>
        </w:tc>
        <w:tc>
          <w:tcPr>
            <w:tcW w:w="2551" w:type="dxa"/>
            <w:vAlign w:val="center"/>
          </w:tcPr>
          <w:p>
            <w:pPr>
              <w:pStyle w:val="15"/>
            </w:pPr>
            <w:r>
              <w:t>126.36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126.36</w:t>
            </w:r>
          </w:p>
        </w:tc>
        <w:tc>
          <w:tcPr>
            <w:tcW w:w="2551" w:type="dxa"/>
            <w:vAlign w:val="center"/>
          </w:tcPr>
          <w:p>
            <w:pPr>
              <w:pStyle w:val="15"/>
            </w:pPr>
            <w:r>
              <w:t>126.36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1854.52</w:t>
            </w:r>
          </w:p>
        </w:tc>
        <w:tc>
          <w:tcPr>
            <w:tcW w:w="2551" w:type="dxa"/>
            <w:vAlign w:val="center"/>
          </w:tcPr>
          <w:p>
            <w:pPr>
              <w:pStyle w:val="15"/>
            </w:pPr>
            <w:r>
              <w:t>1225.72</w:t>
            </w:r>
          </w:p>
        </w:tc>
        <w:tc>
          <w:tcPr>
            <w:tcW w:w="2551" w:type="dxa"/>
            <w:vAlign w:val="center"/>
          </w:tcPr>
          <w:p>
            <w:pPr>
              <w:pStyle w:val="15"/>
            </w:pPr>
            <w:r>
              <w:t>628.80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93.00</w:t>
            </w:r>
          </w:p>
        </w:tc>
        <w:tc>
          <w:tcPr>
            <w:tcW w:w="2551" w:type="dxa"/>
            <w:vAlign w:val="center"/>
          </w:tcPr>
          <w:p>
            <w:pPr>
              <w:pStyle w:val="15"/>
            </w:pPr>
            <w:r>
              <w:t>93.00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93.00</w:t>
            </w:r>
          </w:p>
        </w:tc>
        <w:tc>
          <w:tcPr>
            <w:tcW w:w="2551" w:type="dxa"/>
            <w:vAlign w:val="center"/>
          </w:tcPr>
          <w:p>
            <w:pPr>
              <w:pStyle w:val="15"/>
            </w:pPr>
            <w:r>
              <w:t>93.00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22103</w:t>
            </w:r>
          </w:p>
        </w:tc>
        <w:tc>
          <w:tcPr>
            <w:tcW w:w="4535" w:type="dxa"/>
            <w:vAlign w:val="center"/>
          </w:tcPr>
          <w:p>
            <w:pPr>
              <w:pStyle w:val="16"/>
            </w:pPr>
            <w:r>
              <w:t>城乡社区住宅</w:t>
            </w:r>
          </w:p>
        </w:tc>
        <w:tc>
          <w:tcPr>
            <w:tcW w:w="2551" w:type="dxa"/>
            <w:vAlign w:val="center"/>
          </w:tcPr>
          <w:p>
            <w:pPr>
              <w:pStyle w:val="15"/>
            </w:pPr>
            <w:r>
              <w:t>1761.52</w:t>
            </w:r>
          </w:p>
        </w:tc>
        <w:tc>
          <w:tcPr>
            <w:tcW w:w="2551" w:type="dxa"/>
            <w:vAlign w:val="center"/>
          </w:tcPr>
          <w:p>
            <w:pPr>
              <w:pStyle w:val="15"/>
            </w:pPr>
            <w:r>
              <w:t>1132.72</w:t>
            </w:r>
          </w:p>
        </w:tc>
        <w:tc>
          <w:tcPr>
            <w:tcW w:w="2551" w:type="dxa"/>
            <w:vAlign w:val="center"/>
          </w:tcPr>
          <w:p>
            <w:pPr>
              <w:pStyle w:val="15"/>
            </w:pPr>
            <w:r>
              <w:t>628.80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2210302</w:t>
            </w:r>
          </w:p>
        </w:tc>
        <w:tc>
          <w:tcPr>
            <w:tcW w:w="4535" w:type="dxa"/>
            <w:vAlign w:val="center"/>
          </w:tcPr>
          <w:p>
            <w:pPr>
              <w:pStyle w:val="16"/>
            </w:pPr>
            <w:r>
              <w:t>住房公积金管理</w:t>
            </w:r>
          </w:p>
        </w:tc>
        <w:tc>
          <w:tcPr>
            <w:tcW w:w="2551" w:type="dxa"/>
            <w:vAlign w:val="center"/>
          </w:tcPr>
          <w:p>
            <w:pPr>
              <w:pStyle w:val="15"/>
            </w:pPr>
            <w:r>
              <w:t>1761.52</w:t>
            </w:r>
          </w:p>
        </w:tc>
        <w:tc>
          <w:tcPr>
            <w:tcW w:w="2551" w:type="dxa"/>
            <w:vAlign w:val="center"/>
          </w:tcPr>
          <w:p>
            <w:pPr>
              <w:pStyle w:val="15"/>
            </w:pPr>
            <w:r>
              <w:t>1132.72</w:t>
            </w:r>
          </w:p>
        </w:tc>
        <w:tc>
          <w:tcPr>
            <w:tcW w:w="2551" w:type="dxa"/>
            <w:vAlign w:val="center"/>
          </w:tcPr>
          <w:p>
            <w:pPr>
              <w:pStyle w:val="15"/>
            </w:pPr>
            <w:r>
              <w:t>628.80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1532.77</w:t>
            </w:r>
          </w:p>
        </w:tc>
        <w:tc>
          <w:tcPr>
            <w:tcW w:w="2551" w:type="dxa"/>
            <w:vAlign w:val="center"/>
          </w:tcPr>
          <w:p>
            <w:pPr>
              <w:pStyle w:val="19"/>
            </w:pPr>
            <w:r>
              <w:t>1283.87</w:t>
            </w:r>
          </w:p>
        </w:tc>
        <w:tc>
          <w:tcPr>
            <w:tcW w:w="2552" w:type="dxa"/>
            <w:vAlign w:val="center"/>
          </w:tcPr>
          <w:p>
            <w:pPr>
              <w:pStyle w:val="19"/>
            </w:pPr>
            <w:r>
              <w:t>248.90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1271.94</w:t>
            </w:r>
          </w:p>
        </w:tc>
        <w:tc>
          <w:tcPr>
            <w:tcW w:w="2551" w:type="dxa"/>
            <w:vAlign w:val="center"/>
          </w:tcPr>
          <w:p>
            <w:pPr>
              <w:pStyle w:val="15"/>
            </w:pPr>
            <w:r>
              <w:t>1271.94</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190.60</w:t>
            </w:r>
          </w:p>
        </w:tc>
        <w:tc>
          <w:tcPr>
            <w:tcW w:w="2551" w:type="dxa"/>
            <w:vAlign w:val="center"/>
          </w:tcPr>
          <w:p>
            <w:pPr>
              <w:pStyle w:val="15"/>
            </w:pPr>
            <w:r>
              <w:t>190.60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46.70</w:t>
            </w:r>
          </w:p>
        </w:tc>
        <w:tc>
          <w:tcPr>
            <w:tcW w:w="2551" w:type="dxa"/>
            <w:vAlign w:val="center"/>
          </w:tcPr>
          <w:p>
            <w:pPr>
              <w:pStyle w:val="15"/>
            </w:pPr>
            <w:r>
              <w:t>46.70</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192.30</w:t>
            </w:r>
          </w:p>
        </w:tc>
        <w:tc>
          <w:tcPr>
            <w:tcW w:w="2551" w:type="dxa"/>
            <w:vAlign w:val="center"/>
          </w:tcPr>
          <w:p>
            <w:pPr>
              <w:pStyle w:val="15"/>
            </w:pPr>
            <w:r>
              <w:t>192.30</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389.00</w:t>
            </w:r>
          </w:p>
        </w:tc>
        <w:tc>
          <w:tcPr>
            <w:tcW w:w="2551" w:type="dxa"/>
            <w:vAlign w:val="center"/>
          </w:tcPr>
          <w:p>
            <w:pPr>
              <w:pStyle w:val="15"/>
            </w:pPr>
            <w:r>
              <w:t>389.00</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112.31</w:t>
            </w:r>
          </w:p>
        </w:tc>
        <w:tc>
          <w:tcPr>
            <w:tcW w:w="2551" w:type="dxa"/>
            <w:vAlign w:val="center"/>
          </w:tcPr>
          <w:p>
            <w:pPr>
              <w:pStyle w:val="15"/>
            </w:pPr>
            <w:r>
              <w:t>112.31</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56.16</w:t>
            </w:r>
          </w:p>
        </w:tc>
        <w:tc>
          <w:tcPr>
            <w:tcW w:w="2551" w:type="dxa"/>
            <w:vAlign w:val="center"/>
          </w:tcPr>
          <w:p>
            <w:pPr>
              <w:pStyle w:val="15"/>
            </w:pPr>
            <w:r>
              <w:t>56.16</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56.16</w:t>
            </w:r>
          </w:p>
        </w:tc>
        <w:tc>
          <w:tcPr>
            <w:tcW w:w="2551" w:type="dxa"/>
            <w:vAlign w:val="center"/>
          </w:tcPr>
          <w:p>
            <w:pPr>
              <w:pStyle w:val="15"/>
            </w:pPr>
            <w:r>
              <w:t>56.16</w:t>
            </w:r>
          </w:p>
        </w:tc>
        <w:tc>
          <w:tcPr>
            <w:tcW w:w="2552"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83.71</w:t>
            </w:r>
          </w:p>
        </w:tc>
        <w:tc>
          <w:tcPr>
            <w:tcW w:w="2551" w:type="dxa"/>
            <w:vAlign w:val="center"/>
          </w:tcPr>
          <w:p>
            <w:pPr>
              <w:pStyle w:val="15"/>
            </w:pPr>
            <w:r>
              <w:t>83.71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93.00</w:t>
            </w:r>
          </w:p>
        </w:tc>
        <w:tc>
          <w:tcPr>
            <w:tcW w:w="2551" w:type="dxa"/>
            <w:vAlign w:val="center"/>
          </w:tcPr>
          <w:p>
            <w:pPr>
              <w:pStyle w:val="15"/>
            </w:pPr>
            <w:r>
              <w:t>93.00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52.00</w:t>
            </w:r>
          </w:p>
        </w:tc>
        <w:tc>
          <w:tcPr>
            <w:tcW w:w="2551" w:type="dxa"/>
            <w:vAlign w:val="center"/>
          </w:tcPr>
          <w:p>
            <w:pPr>
              <w:pStyle w:val="15"/>
            </w:pPr>
            <w:r>
              <w:t>52.00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242.77</w:t>
            </w:r>
          </w:p>
        </w:tc>
        <w:tc>
          <w:tcPr>
            <w:tcW w:w="2551" w:type="dxa"/>
            <w:vAlign w:val="center"/>
          </w:tcPr>
          <w:p>
            <w:pPr>
              <w:pStyle w:val="15"/>
            </w:pPr>
          </w:p>
        </w:tc>
        <w:tc>
          <w:tcPr>
            <w:tcW w:w="2552" w:type="dxa"/>
            <w:vAlign w:val="center"/>
          </w:tcPr>
          <w:p>
            <w:pPr>
              <w:pStyle w:val="15"/>
            </w:pPr>
            <w:r>
              <w:t>242.77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8.89</w:t>
            </w:r>
          </w:p>
        </w:tc>
        <w:tc>
          <w:tcPr>
            <w:tcW w:w="2551" w:type="dxa"/>
            <w:vAlign w:val="center"/>
          </w:tcPr>
          <w:p>
            <w:pPr>
              <w:pStyle w:val="15"/>
            </w:pPr>
          </w:p>
        </w:tc>
        <w:tc>
          <w:tcPr>
            <w:tcW w:w="2552" w:type="dxa"/>
            <w:vAlign w:val="center"/>
          </w:tcPr>
          <w:p>
            <w:pPr>
              <w:pStyle w:val="15"/>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5.27</w:t>
            </w:r>
          </w:p>
        </w:tc>
        <w:tc>
          <w:tcPr>
            <w:tcW w:w="2551" w:type="dxa"/>
            <w:vAlign w:val="center"/>
          </w:tcPr>
          <w:p>
            <w:pPr>
              <w:pStyle w:val="15"/>
            </w:pPr>
          </w:p>
        </w:tc>
        <w:tc>
          <w:tcPr>
            <w:tcW w:w="2552" w:type="dxa"/>
            <w:vAlign w:val="center"/>
          </w:tcPr>
          <w:p>
            <w:pPr>
              <w:pStyle w:val="15"/>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39.00</w:t>
            </w:r>
          </w:p>
        </w:tc>
        <w:tc>
          <w:tcPr>
            <w:tcW w:w="2551" w:type="dxa"/>
            <w:vAlign w:val="center"/>
          </w:tcPr>
          <w:p>
            <w:pPr>
              <w:pStyle w:val="15"/>
            </w:pPr>
          </w:p>
        </w:tc>
        <w:tc>
          <w:tcPr>
            <w:tcW w:w="2552" w:type="dxa"/>
            <w:vAlign w:val="center"/>
          </w:tcPr>
          <w:p>
            <w:pPr>
              <w:pStyle w:val="15"/>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Layout w:type="fixed"/>
          <w:tblCellMar>
            <w:left w:w="108"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1.40</w:t>
            </w:r>
          </w:p>
        </w:tc>
        <w:tc>
          <w:tcPr>
            <w:tcW w:w="2551" w:type="dxa"/>
            <w:vAlign w:val="center"/>
          </w:tcPr>
          <w:p>
            <w:pPr>
              <w:pStyle w:val="15"/>
            </w:pPr>
          </w:p>
        </w:tc>
        <w:tc>
          <w:tcPr>
            <w:tcW w:w="2552" w:type="dxa"/>
            <w:vAlign w:val="center"/>
          </w:tcPr>
          <w:p>
            <w:pPr>
              <w:pStyle w:val="15"/>
            </w:pPr>
            <w:r>
              <w:t>1.40</w:t>
            </w:r>
          </w:p>
        </w:tc>
      </w:tr>
      <w:tr>
        <w:tblPrEx>
          <w:tblLayout w:type="fixed"/>
          <w:tblCellMar>
            <w:left w:w="108"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4.37</w:t>
            </w:r>
          </w:p>
        </w:tc>
        <w:tc>
          <w:tcPr>
            <w:tcW w:w="2551" w:type="dxa"/>
            <w:vAlign w:val="center"/>
          </w:tcPr>
          <w:p>
            <w:pPr>
              <w:pStyle w:val="15"/>
            </w:pPr>
          </w:p>
        </w:tc>
        <w:tc>
          <w:tcPr>
            <w:tcW w:w="2552" w:type="dxa"/>
            <w:vAlign w:val="center"/>
          </w:tcPr>
          <w:p>
            <w:pPr>
              <w:pStyle w:val="15"/>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1.14</w:t>
            </w:r>
          </w:p>
        </w:tc>
        <w:tc>
          <w:tcPr>
            <w:tcW w:w="2551" w:type="dxa"/>
            <w:vAlign w:val="center"/>
          </w:tcPr>
          <w:p>
            <w:pPr>
              <w:pStyle w:val="15"/>
            </w:pPr>
          </w:p>
        </w:tc>
        <w:tc>
          <w:tcPr>
            <w:tcW w:w="2552" w:type="dxa"/>
            <w:vAlign w:val="center"/>
          </w:tcPr>
          <w:p>
            <w:pPr>
              <w:pStyle w:val="15"/>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70.00</w:t>
            </w:r>
          </w:p>
        </w:tc>
        <w:tc>
          <w:tcPr>
            <w:tcW w:w="2551" w:type="dxa"/>
            <w:vAlign w:val="center"/>
          </w:tcPr>
          <w:p>
            <w:pPr>
              <w:pStyle w:val="15"/>
            </w:pPr>
          </w:p>
        </w:tc>
        <w:tc>
          <w:tcPr>
            <w:tcW w:w="2552"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55.00</w:t>
            </w:r>
          </w:p>
        </w:tc>
        <w:tc>
          <w:tcPr>
            <w:tcW w:w="2551" w:type="dxa"/>
            <w:vAlign w:val="center"/>
          </w:tcPr>
          <w:p>
            <w:pPr>
              <w:pStyle w:val="15"/>
            </w:pPr>
          </w:p>
        </w:tc>
        <w:tc>
          <w:tcPr>
            <w:tcW w:w="2552" w:type="dxa"/>
            <w:vAlign w:val="center"/>
          </w:tcPr>
          <w:p>
            <w:pPr>
              <w:pStyle w:val="15"/>
            </w:pPr>
            <w:r>
              <w:t>55.00</w:t>
            </w:r>
          </w:p>
        </w:tc>
      </w:tr>
      <w:tr>
        <w:tblPrEx>
          <w:tblLayout w:type="fixed"/>
          <w:tblCellMar>
            <w:left w:w="108"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16.00</w:t>
            </w:r>
          </w:p>
        </w:tc>
        <w:tc>
          <w:tcPr>
            <w:tcW w:w="2551" w:type="dxa"/>
            <w:vAlign w:val="center"/>
          </w:tcPr>
          <w:p>
            <w:pPr>
              <w:pStyle w:val="15"/>
            </w:pPr>
          </w:p>
        </w:tc>
        <w:tc>
          <w:tcPr>
            <w:tcW w:w="2552"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26.70</w:t>
            </w:r>
          </w:p>
        </w:tc>
        <w:tc>
          <w:tcPr>
            <w:tcW w:w="2551" w:type="dxa"/>
            <w:vAlign w:val="center"/>
          </w:tcPr>
          <w:p>
            <w:pPr>
              <w:pStyle w:val="15"/>
            </w:pPr>
          </w:p>
        </w:tc>
        <w:tc>
          <w:tcPr>
            <w:tcW w:w="2552" w:type="dxa"/>
            <w:vAlign w:val="center"/>
          </w:tcPr>
          <w:p>
            <w:pPr>
              <w:pStyle w:val="15"/>
            </w:pPr>
            <w:r>
              <w:t>26.70</w:t>
            </w:r>
          </w:p>
        </w:tc>
      </w:tr>
      <w:tr>
        <w:tblPrEx>
          <w:tblLayout w:type="fixed"/>
          <w:tblCellMar>
            <w:left w:w="108"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11.93</w:t>
            </w:r>
          </w:p>
        </w:tc>
        <w:tc>
          <w:tcPr>
            <w:tcW w:w="2551" w:type="dxa"/>
            <w:vAlign w:val="center"/>
          </w:tcPr>
          <w:p>
            <w:pPr>
              <w:pStyle w:val="15"/>
            </w:pPr>
            <w:r>
              <w:t>11.93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11.90</w:t>
            </w:r>
          </w:p>
        </w:tc>
        <w:tc>
          <w:tcPr>
            <w:tcW w:w="2551" w:type="dxa"/>
            <w:vAlign w:val="center"/>
          </w:tcPr>
          <w:p>
            <w:pPr>
              <w:pStyle w:val="15"/>
            </w:pPr>
            <w:r>
              <w:t>11.90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0.03</w:t>
            </w:r>
          </w:p>
        </w:tc>
        <w:tc>
          <w:tcPr>
            <w:tcW w:w="2551" w:type="dxa"/>
            <w:vAlign w:val="center"/>
          </w:tcPr>
          <w:p>
            <w:pPr>
              <w:pStyle w:val="15"/>
            </w:pPr>
            <w:r>
              <w:t>0.03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6.13</w:t>
            </w:r>
          </w:p>
        </w:tc>
        <w:tc>
          <w:tcPr>
            <w:tcW w:w="2551" w:type="dxa"/>
            <w:vAlign w:val="center"/>
          </w:tcPr>
          <w:p>
            <w:pPr>
              <w:pStyle w:val="15"/>
            </w:pPr>
          </w:p>
        </w:tc>
        <w:tc>
          <w:tcPr>
            <w:tcW w:w="2552" w:type="dxa"/>
            <w:vAlign w:val="center"/>
          </w:tcPr>
          <w:p>
            <w:pPr>
              <w:pStyle w:val="15"/>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6.13</w:t>
            </w:r>
          </w:p>
        </w:tc>
        <w:tc>
          <w:tcPr>
            <w:tcW w:w="2551" w:type="dxa"/>
            <w:vAlign w:val="center"/>
          </w:tcPr>
          <w:p>
            <w:pPr>
              <w:pStyle w:val="15"/>
            </w:pPr>
          </w:p>
        </w:tc>
        <w:tc>
          <w:tcPr>
            <w:tcW w:w="2552" w:type="dxa"/>
            <w:vAlign w:val="center"/>
          </w:tcPr>
          <w:p>
            <w:pPr>
              <w:pStyle w:val="15"/>
            </w:pPr>
            <w:r>
              <w:t>6.13</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431河北省省直住房资金中心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25.14</w:t>
            </w:r>
          </w:p>
        </w:tc>
        <w:tc>
          <w:tcPr>
            <w:tcW w:w="2381" w:type="dxa"/>
            <w:vAlign w:val="center"/>
          </w:tcPr>
          <w:p>
            <w:pPr>
              <w:pStyle w:val="19"/>
            </w:pPr>
            <w:r>
              <w:t>25.14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pPr>
            <w:r>
              <w:t>24.00</w:t>
            </w:r>
          </w:p>
        </w:tc>
        <w:tc>
          <w:tcPr>
            <w:tcW w:w="2381" w:type="dxa"/>
            <w:vAlign w:val="center"/>
          </w:tcPr>
          <w:p>
            <w:pPr>
              <w:pStyle w:val="15"/>
            </w:pPr>
            <w:r>
              <w:t>24.00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pPr>
            <w:r>
              <w:t>20.00</w:t>
            </w:r>
          </w:p>
        </w:tc>
        <w:tc>
          <w:tcPr>
            <w:tcW w:w="2381" w:type="dxa"/>
            <w:vAlign w:val="center"/>
          </w:tcPr>
          <w:p>
            <w:pPr>
              <w:pStyle w:val="15"/>
            </w:pPr>
            <w:r>
              <w:t>20.00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pPr>
            <w:r>
              <w:t>1.14</w:t>
            </w:r>
          </w:p>
        </w:tc>
        <w:tc>
          <w:tcPr>
            <w:tcW w:w="2381" w:type="dxa"/>
            <w:vAlign w:val="center"/>
          </w:tcPr>
          <w:p>
            <w:pPr>
              <w:pStyle w:val="15"/>
            </w:pPr>
            <w:r>
              <w:t>1.14</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河北省省直住房资金中心2023年部门预算信息公开情况说明</w:t>
      </w:r>
    </w:p>
    <w:p>
      <w:pPr>
        <w:jc w:val="center"/>
      </w:pPr>
      <w:r>
        <w:rPr>
          <w:rFonts w:ascii="方正小标宋_GBK" w:hAnsi="方正小标宋_GBK" w:eastAsia="方正小标宋_GBK" w:cs="方正小标宋_GBK"/>
          <w:color w:val="000000"/>
          <w:sz w:val="44"/>
        </w:rPr>
        <w:t>河北省省直住房资金中心2023年部门预算信息公开情况说明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预算法》、《地方预决算公开操作规程》和《关于进一步推进预算公开工作的实施意见》规定，现将河北省省直住房资金中心2023年部门预算公开如下：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rPr>
          <w:rFonts w:hint="eastAsia" w:ascii="宋体" w:hAnsi="宋体" w:eastAsia="宋体"/>
        </w:rPr>
        <w:t>(一)</w:t>
      </w:r>
      <w:r>
        <w:t>负责省直住房公积金的运营服务保障。</w:t>
      </w:r>
    </w:p>
    <w:p>
      <w:pPr>
        <w:pStyle w:val="21"/>
      </w:pPr>
      <w:r>
        <w:rPr>
          <w:rFonts w:hint="eastAsia" w:ascii="宋体" w:hAnsi="宋体" w:eastAsia="宋体"/>
        </w:rPr>
        <w:t>(二)</w:t>
      </w:r>
      <w:r>
        <w:t>负责编制、执行住房公积金的归集、使用计划。</w:t>
      </w:r>
    </w:p>
    <w:p>
      <w:pPr>
        <w:pStyle w:val="21"/>
      </w:pPr>
      <w:r>
        <w:rPr>
          <w:rFonts w:hint="eastAsia" w:ascii="宋体" w:hAnsi="宋体" w:eastAsia="宋体"/>
        </w:rPr>
        <w:t>(三)</w:t>
      </w:r>
      <w:r>
        <w:t>负责住房公积金的提取、使用、保值和归还。</w:t>
      </w:r>
    </w:p>
    <w:p>
      <w:pPr>
        <w:pStyle w:val="21"/>
      </w:pPr>
      <w:r>
        <w:rPr>
          <w:rFonts w:hint="eastAsia" w:ascii="宋体" w:hAnsi="宋体" w:eastAsia="宋体"/>
        </w:rPr>
        <w:t>(四)</w:t>
      </w:r>
      <w:r>
        <w:t>承担省直公有住房出售资金的归集、管理、使用和审核工作。</w:t>
      </w:r>
    </w:p>
    <w:p>
      <w:pPr>
        <w:pStyle w:val="21"/>
      </w:pPr>
      <w:r>
        <w:rPr>
          <w:rFonts w:hint="eastAsia" w:ascii="宋体" w:hAnsi="宋体" w:eastAsia="宋体"/>
        </w:rPr>
        <w:t>(五)</w:t>
      </w:r>
      <w:r>
        <w:t>承担其他住房资金事宜。</w:t>
      </w:r>
    </w:p>
    <w:p>
      <w:pPr>
        <w:pStyle w:val="21"/>
      </w:pPr>
      <w:r>
        <w:rPr>
          <w:rFonts w:hint="eastAsia" w:ascii="宋体" w:hAnsi="宋体" w:eastAsia="宋体"/>
        </w:rPr>
        <w:t>(六)</w:t>
      </w:r>
      <w:r>
        <w:t>完成河北省机关事务管理局交办的其他任务。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5669" w:type="dxa"/>
            <w:vAlign w:val="center"/>
          </w:tcPr>
          <w:p>
            <w:pPr>
              <w:pStyle w:val="16"/>
            </w:pPr>
            <w:r>
              <w:t>河北省省直住房资金中心本级</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按照预算管理有关规定，目前我省部门预算的编制实行综合预算管理，即全部收入和支出都反映在预算中。河北省省直住房资金中心机关及所属事业单位的收支包含在部门预算中。</w:t>
      </w:r>
    </w:p>
    <w:p>
      <w:pPr>
        <w:pStyle w:val="22"/>
      </w:pPr>
      <w:r>
        <w:t>1、收入说明</w:t>
      </w:r>
    </w:p>
    <w:p>
      <w:pPr>
        <w:pStyle w:val="22"/>
      </w:pPr>
      <w:r>
        <w:t>反映本部门当年全部收入。2023年预算收入2161.58万元，其中：一般公共预算收入2161.57万元，基金预算收入0万元，国有资本经营预算收入0万元，财政专户核拨收入0万元，单位资金收入0.01万元，上年结转结余0万元。</w:t>
      </w:r>
    </w:p>
    <w:p>
      <w:pPr>
        <w:pStyle w:val="22"/>
      </w:pPr>
      <w:r>
        <w:t>2、支出说明</w:t>
      </w:r>
    </w:p>
    <w:p>
      <w:pPr>
        <w:pStyle w:val="22"/>
      </w:pPr>
      <w:r>
        <w:t>收支预算总表支出栏、基本支出表、项目支出表按经济分类和支出功能分类科目编制，反映河北省省直住房资金中心年度部门预算中支出预算的总体情况。2023年支出预算2161.58万元，其中基本支出1532.78万元，包括人员经费1283.87万元和日常公用经费248.91万元；项目支出628.80万元，主要为住房公积金业务管理信息系统运行维护费等。</w:t>
      </w:r>
    </w:p>
    <w:p>
      <w:pPr>
        <w:pStyle w:val="22"/>
      </w:pPr>
      <w:r>
        <w:t>3、比上年增减情况</w:t>
      </w:r>
    </w:p>
    <w:p>
      <w:pPr>
        <w:pStyle w:val="22"/>
      </w:pPr>
      <w:r>
        <w:t>2023年预算收支安排2161.58万元，较2022年预算增加199.71万元，其中：基本支出增加183.31万元，主要为增加人员经费支出；项目支出增加16.40万元，主要为</w:t>
      </w:r>
      <w:r>
        <w:rPr>
          <w:rFonts w:hint="eastAsia"/>
        </w:rPr>
        <w:t>住房公积金综合事务管理项目支出增加</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2023年，我部门运行经费共计安排248.91万元，主要用于日常维修、办公费、办公用房取暖费等日常运行支出。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25.14万元，其中因公出国（境）费0万元；公务用车购置及运维费24万元（其中：公务用车购置费为20万元，公务用车运维费4万元)；公务接待费1.14万元。与2022年相比增加19.94万元，增加的主要原因是公务用车购置费</w:t>
      </w:r>
      <w:r>
        <w:rPr>
          <w:rFonts w:hint="eastAsia"/>
        </w:rPr>
        <w:t>增加</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学习贯彻习近平新时代中国特色社会主义思想，深入贯彻落实国务院《住房公积金管理条例》及《河北省住房公积金管理办法》等规定，加强省直住房公积金管理，维护省直住房公积金所有者的合法权益。编制、执行省直住房公积金归集、使用计划，完善“互联网+住房公积金”服务范围、服务项目和水平，做好公积金归集扩面、提取审核和贷款工作，力争2023年归集住房公积金33亿元、发放住房公积金个人贷款3亿元。做好住房公积金的保值和归还工作，实现增值收益1.1亿元。积极落实省直房改政策，进一步加强省直单位公有住房出售资金收缴与管理。对省直单位住房公积金管理人员组织管理培训，为省直职工提供更加便捷、高效的服务。</w:t>
      </w:r>
    </w:p>
    <w:p>
      <w:pPr>
        <w:spacing w:line="500" w:lineRule="exact"/>
        <w:ind w:firstLine="560"/>
      </w:pPr>
      <w:r>
        <w:rPr>
          <w:rFonts w:eastAsia="方正仿宋_GBK"/>
          <w:color w:val="000000"/>
          <w:sz w:val="28"/>
        </w:rPr>
        <w:t>（二）分项绩效目标</w:t>
      </w:r>
    </w:p>
    <w:p>
      <w:pPr>
        <w:pStyle w:val="26"/>
      </w:pPr>
      <w:r>
        <w:rPr>
          <w:rFonts w:hint="eastAsia"/>
        </w:rPr>
        <w:t>1、</w:t>
      </w:r>
      <w:r>
        <w:t>住房公积金归集进一步增长，优化提取方式。</w:t>
      </w:r>
    </w:p>
    <w:p>
      <w:pPr>
        <w:pStyle w:val="26"/>
      </w:pPr>
      <w:r>
        <w:t>加强对住房公积金归集、提取业务管理。力争应交尽缴，按规定为职工住房公积金进行核算、计息，严格落实国家“限高保低”的缴存政策，切实保证广大缴存职工利益。依照国家和地方相关政策规定，做好住房公积金提取审核工作，取消和简化办理要件，持续推动“互联网+住房公积金”建设，提高在线办理率和全程网办率，持续提升网上办事智能化水平，做到提取资金实时到账，提升省直单位和职工满意度。</w:t>
      </w:r>
    </w:p>
    <w:p>
      <w:pPr>
        <w:pStyle w:val="26"/>
      </w:pPr>
      <w:r>
        <w:rPr>
          <w:rFonts w:hint="eastAsia"/>
        </w:rPr>
        <w:t>绩效指标：</w:t>
      </w:r>
      <w:r>
        <w:t>2023年归集住房公积金33亿元，归集额较上年增长6%,对账信息率超过98%。</w:t>
      </w:r>
    </w:p>
    <w:p>
      <w:pPr>
        <w:pStyle w:val="26"/>
      </w:pPr>
      <w:r>
        <w:rPr>
          <w:rFonts w:hint="eastAsia"/>
        </w:rPr>
        <w:t>2、</w:t>
      </w:r>
      <w:r>
        <w:t>进一步加强对职工个人住房公积金贷款的发放与管理。</w:t>
      </w:r>
    </w:p>
    <w:p>
      <w:pPr>
        <w:pStyle w:val="26"/>
      </w:pPr>
      <w:r>
        <w:t>积极落实国家和省相关政策，做好房地产市场调研工作和住房公积金贷款政策宣传工作，使贷款职工充分了解省直住房公积金贷款政策，合理选择贷款方式、贷款额度和贷款期限，满足职工购房需求。建立和完善贷款风险准备金制度，做好逾期贷款催收管理，降低贷款逾期率，科学合理控制贷款风险。</w:t>
      </w:r>
    </w:p>
    <w:p>
      <w:pPr>
        <w:pStyle w:val="26"/>
      </w:pPr>
      <w:r>
        <w:rPr>
          <w:rFonts w:hint="eastAsia"/>
        </w:rPr>
        <w:t>绩效指标：</w:t>
      </w:r>
      <w:r>
        <w:t>受国家贷款政策调控的影响，2023年力争发放住房公积金个人购房贷款3亿元，按照要求足额计提贷款风险准备金，做到贷款风险准备金率不小于1%，贷款逾期率控制在0.4‰以内。</w:t>
      </w:r>
    </w:p>
    <w:p>
      <w:pPr>
        <w:pStyle w:val="26"/>
      </w:pPr>
      <w:r>
        <w:rPr>
          <w:rFonts w:hint="eastAsia"/>
        </w:rPr>
        <w:t>3、</w:t>
      </w:r>
      <w:r>
        <w:t>实现住房公积金增值收益稳步增长，并按时足额上缴国库。</w:t>
      </w:r>
    </w:p>
    <w:p>
      <w:pPr>
        <w:pStyle w:val="26"/>
      </w:pPr>
      <w:r>
        <w:t>在保证资金安全的情况下，进一步优化住房公积金存款结构，根据业务发展科学合理调配资金，提高住房公积金增值收益和资金使用率，按时足额向国库上缴增值收益。</w:t>
      </w:r>
    </w:p>
    <w:p>
      <w:pPr>
        <w:pStyle w:val="26"/>
      </w:pPr>
      <w:r>
        <w:rPr>
          <w:rFonts w:hint="eastAsia"/>
        </w:rPr>
        <w:t>绩效指标：</w:t>
      </w:r>
      <w:r>
        <w:t>2023年实现增值收益1.1亿元，增值收益率大于1%，并按时解缴。</w:t>
      </w:r>
    </w:p>
    <w:p>
      <w:pPr>
        <w:pStyle w:val="26"/>
      </w:pPr>
      <w:r>
        <w:rPr>
          <w:rFonts w:hint="eastAsia"/>
        </w:rPr>
        <w:t>4、</w:t>
      </w:r>
      <w:r>
        <w:t>进一步加强省直单位公有住房出售资金收缴与管理。</w:t>
      </w:r>
    </w:p>
    <w:p>
      <w:pPr>
        <w:pStyle w:val="26"/>
      </w:pPr>
      <w:r>
        <w:t>积极落实省直房改政策，全面足额收缴省直单位公有住房出售资金并规范管理。按相关政策规定，认真做好公有住房出售资金使用申请的初审和报批工作，按照批复结果及时划转单位公有住房出售资金。</w:t>
      </w:r>
    </w:p>
    <w:p>
      <w:pPr>
        <w:pStyle w:val="26"/>
      </w:pPr>
      <w:r>
        <w:rPr>
          <w:rFonts w:hint="eastAsia"/>
        </w:rPr>
        <w:t>绩效指标：</w:t>
      </w:r>
      <w:r>
        <w:t>资金收缴率达到100%，不存在违规使用公房出售收入行为。</w:t>
      </w:r>
    </w:p>
    <w:p>
      <w:pPr>
        <w:pStyle w:val="26"/>
      </w:pPr>
      <w:r>
        <w:rPr>
          <w:rFonts w:hint="eastAsia"/>
        </w:rPr>
        <w:t>5、</w:t>
      </w:r>
      <w:r>
        <w:t>进一步加强省直住房公积金综合事务管理。</w:t>
      </w:r>
    </w:p>
    <w:p>
      <w:pPr>
        <w:pStyle w:val="26"/>
      </w:pPr>
      <w:r>
        <w:t>保障住房公积金管理工作安全高效运转，做好信息化建设与网络设备维护，为职工查询和提取等住房公积金业务提供安全保障，切实维护广大职工的利益。做好组织管理培训，对省直单位住房公积金管理人员进行业务指导和培训，加强政策宣传，提高住房公积金管理人员的业务水平。</w:t>
      </w:r>
    </w:p>
    <w:p>
      <w:pPr>
        <w:pStyle w:val="26"/>
      </w:pPr>
      <w:r>
        <w:t>绩效指标：综合事务管理工作完成率100%。</w:t>
      </w:r>
    </w:p>
    <w:p>
      <w:pPr>
        <w:spacing w:line="500" w:lineRule="exact"/>
        <w:ind w:firstLine="560"/>
      </w:pPr>
      <w:r>
        <w:rPr>
          <w:rFonts w:eastAsia="方正仿宋_GBK"/>
          <w:color w:val="000000"/>
          <w:sz w:val="28"/>
        </w:rPr>
        <w:t>（三）工作保障措施</w:t>
      </w:r>
    </w:p>
    <w:p>
      <w:pPr>
        <w:pStyle w:val="27"/>
      </w:pPr>
      <w:r>
        <w:rPr>
          <w:rFonts w:hint="eastAsia"/>
        </w:rPr>
        <w:t>1、</w:t>
      </w:r>
      <w:r>
        <w:t>始终坚持党建引领，统筹做好党建和疫情防控工作。坚持以习近平新时代中国特色社会主义思想为指导，以党的政治建设为统领，以提升党支部政治功能和组织力为目标，落实“加快建立多主体供给、多渠道保障、租购并举的住房制度”这一重要讲话精神要求，以坚决拥护“两个确立”、坚决做到“两个维护”的政治站位、政治担当、政治定力，内化于心，外化于行，切实把学习贯彻的成果体现到干事创业的实际行动中、推动工作的具体举措中、实实在在的发展成效中，实现住房公积金事业高质量发展。</w:t>
      </w:r>
    </w:p>
    <w:p>
      <w:pPr>
        <w:pStyle w:val="27"/>
      </w:pPr>
      <w:r>
        <w:rPr>
          <w:rFonts w:hint="eastAsia"/>
        </w:rPr>
        <w:t>2、</w:t>
      </w:r>
      <w:r>
        <w:t>做好住房公积金归集和管理工作。继续推进“互联网+住房公积金”建设，实现多点接入，数据共享，整体互动，统一识别，统一管理，统一风控，让业务办理跑零次，服务群众零跑腿，联系交流零距离。深入开展住房公积金政策宣传活动，强化缴存单位和缴存职工的法律意识和维权意识，提高缴交住房公积金的自觉性和主动性。加强对缴存单位住房公积金账户的管理，完善缴存单位账户信息。加强住房公积金执法和催缴、催建工作力度，保障职工合法权益。</w:t>
      </w:r>
    </w:p>
    <w:p>
      <w:pPr>
        <w:pStyle w:val="27"/>
      </w:pPr>
      <w:r>
        <w:rPr>
          <w:rFonts w:hint="eastAsia"/>
        </w:rPr>
        <w:t>3、</w:t>
      </w:r>
      <w:r>
        <w:t>加大省直住房公积金个人购房贷款工作力度。深化“放管服”改革，压缩贷款业务办理时限，取消和简化办理要件，进一步提高服务效能和服务水平。加大贷款政策宣传力度，使贷款职工充分了解省直住房公积金贷款政策；做好房地产市场调研工作，主动到房地产开发商等处进行实地调研，主动联系符合贷款条件的开发商，进行实地考察并签订贷款合作协议；加强贷后管理，严格贷款抵押物落实、逾期贷款催收和贷款档案管理等贷后安全管理工作，有效规避信贷风险，确保贷款资金安全完整。</w:t>
      </w:r>
    </w:p>
    <w:p>
      <w:pPr>
        <w:pStyle w:val="27"/>
      </w:pPr>
      <w:r>
        <w:rPr>
          <w:rFonts w:hint="eastAsia"/>
        </w:rPr>
        <w:t>4、</w:t>
      </w:r>
      <w:r>
        <w:t>继续做好出售公有住房资金管理工作。按相关政策规定，认真做好公有住房出售资金的收缴工作，做好资金使用申请的初审和报批工作，按照批复结果及时划转单位公有住房出售资金。</w:t>
      </w:r>
    </w:p>
    <w:p>
      <w:pPr>
        <w:pStyle w:val="27"/>
      </w:pPr>
      <w:r>
        <w:rPr>
          <w:rFonts w:hint="eastAsia"/>
        </w:rPr>
        <w:t>5、</w:t>
      </w:r>
      <w:r>
        <w:t>继续对省直单位住房公积金管理人员进行业务指导。针对各单位住房公积金管理人员住房资金管理的实际情况，继续对公积金专管员进行业务指导，切实提高各住房公积金管理人员的业务水平。</w:t>
      </w:r>
    </w:p>
    <w:p>
      <w:pPr>
        <w:pStyle w:val="27"/>
      </w:pPr>
      <w:r>
        <w:rPr>
          <w:rFonts w:hint="eastAsia"/>
        </w:rPr>
        <w:t>6、</w:t>
      </w:r>
      <w:r>
        <w:t xml:space="preserve">强化内控，树牢风险隐患意识，确保资金和数据信息安全。完善功能，持续推动“互联网＋公积金”建设。根据群众需求和公积金政策调整变动情况，不断优化公积金业务系统，着力提高在线办理率和全程网办率，持续提升网上办事智能化水平。 </w:t>
      </w:r>
    </w:p>
    <w:p>
      <w:pPr>
        <w:pStyle w:val="27"/>
      </w:pPr>
      <w:r>
        <w:rPr>
          <w:rFonts w:hint="eastAsia"/>
        </w:rPr>
        <w:t>7、</w:t>
      </w:r>
      <w:bookmarkStart w:id="18" w:name="_GoBack"/>
      <w:bookmarkEnd w:id="18"/>
      <w:r>
        <w:rPr>
          <w:rFonts w:hint="eastAsia"/>
          <w:lang w:val="en-US" w:eastAsia="zh-CN"/>
        </w:rPr>
        <w:t>修订</w:t>
      </w:r>
      <w:r>
        <w:t>完善各项管理办法，优化支出结构，编细编实预算，尽快履行政府采购手续和启动项目，根据项目进展及时支付资金，确保支出进度达标。按要求开展绩效运行监控，提出优化财政资金配置、提高资金使用效益的建议，强化预算绩效管理意识，促进预算绩效管理水平进一步提升。对收入支出、采购管理、资产管理、绩效运行等业务加强管理和制度建设，并配合做好审计和监督工作。</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1、办公用房物业管理服务费绩效目标表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1.通过物业服务，为业务办理提供便利、快捷环境，保证住房公积金各项业务开展。</w:t>
            </w:r>
          </w:p>
          <w:p>
            <w:pPr>
              <w:pStyle w:val="16"/>
            </w:pPr>
            <w:r>
              <w:t>2.通过物业服务，为缴存职工创造优质服务环境，提高职工满意度。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物业服务面积</w:t>
            </w:r>
          </w:p>
        </w:tc>
        <w:tc>
          <w:tcPr>
            <w:tcW w:w="2835" w:type="dxa"/>
            <w:vAlign w:val="center"/>
          </w:tcPr>
          <w:p>
            <w:pPr>
              <w:pStyle w:val="16"/>
            </w:pPr>
            <w:r>
              <w:t>物业服务办公区域保洁服务面积</w:t>
            </w:r>
          </w:p>
        </w:tc>
        <w:tc>
          <w:tcPr>
            <w:tcW w:w="2551" w:type="dxa"/>
            <w:vAlign w:val="center"/>
          </w:tcPr>
          <w:p>
            <w:pPr>
              <w:pStyle w:val="16"/>
            </w:pPr>
            <w:r>
              <w:t>≥1200平方米</w:t>
            </w:r>
          </w:p>
        </w:tc>
        <w:tc>
          <w:tcPr>
            <w:tcW w:w="2268" w:type="dxa"/>
            <w:vAlign w:val="center"/>
          </w:tcPr>
          <w:p>
            <w:pPr>
              <w:pStyle w:val="16"/>
            </w:pPr>
            <w:r>
              <w:t>实际测量面积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物业服务合格率</w:t>
            </w:r>
          </w:p>
        </w:tc>
        <w:tc>
          <w:tcPr>
            <w:tcW w:w="2835" w:type="dxa"/>
            <w:vAlign w:val="center"/>
          </w:tcPr>
          <w:p>
            <w:pPr>
              <w:pStyle w:val="16"/>
            </w:pPr>
            <w:r>
              <w:t>物业服务合格率</w:t>
            </w:r>
          </w:p>
        </w:tc>
        <w:tc>
          <w:tcPr>
            <w:tcW w:w="2551" w:type="dxa"/>
            <w:vAlign w:val="center"/>
          </w:tcPr>
          <w:p>
            <w:pPr>
              <w:pStyle w:val="16"/>
            </w:pPr>
            <w:r>
              <w:t>≥90%</w:t>
            </w:r>
          </w:p>
        </w:tc>
        <w:tc>
          <w:tcPr>
            <w:tcW w:w="2268" w:type="dxa"/>
            <w:vAlign w:val="center"/>
          </w:tcPr>
          <w:p>
            <w:pPr>
              <w:pStyle w:val="1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物业服务合同签订时间</w:t>
            </w:r>
          </w:p>
        </w:tc>
        <w:tc>
          <w:tcPr>
            <w:tcW w:w="2835" w:type="dxa"/>
            <w:vAlign w:val="center"/>
          </w:tcPr>
          <w:p>
            <w:pPr>
              <w:pStyle w:val="16"/>
            </w:pPr>
            <w:r>
              <w:t>物业服务合同签订时间</w:t>
            </w:r>
          </w:p>
        </w:tc>
        <w:tc>
          <w:tcPr>
            <w:tcW w:w="2551" w:type="dxa"/>
            <w:vAlign w:val="center"/>
          </w:tcPr>
          <w:p>
            <w:pPr>
              <w:pStyle w:val="16"/>
            </w:pPr>
            <w:r>
              <w:t>≤11月</w:t>
            </w:r>
          </w:p>
        </w:tc>
        <w:tc>
          <w:tcPr>
            <w:tcW w:w="2268" w:type="dxa"/>
            <w:vAlign w:val="center"/>
          </w:tcPr>
          <w:p>
            <w:pPr>
              <w:pStyle w:val="16"/>
            </w:pPr>
            <w:r>
              <w:t>办公用房物业管理服务费项目工作计划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物业总成本</w:t>
            </w:r>
          </w:p>
        </w:tc>
        <w:tc>
          <w:tcPr>
            <w:tcW w:w="2835" w:type="dxa"/>
            <w:vAlign w:val="center"/>
          </w:tcPr>
          <w:p>
            <w:pPr>
              <w:pStyle w:val="16"/>
            </w:pPr>
            <w:r>
              <w:t>物业管理总成本</w:t>
            </w:r>
          </w:p>
        </w:tc>
        <w:tc>
          <w:tcPr>
            <w:tcW w:w="2551" w:type="dxa"/>
            <w:vAlign w:val="center"/>
          </w:tcPr>
          <w:p>
            <w:pPr>
              <w:pStyle w:val="16"/>
            </w:pPr>
            <w:r>
              <w:t>≤75万元</w:t>
            </w:r>
          </w:p>
        </w:tc>
        <w:tc>
          <w:tcPr>
            <w:tcW w:w="2268" w:type="dxa"/>
            <w:vAlign w:val="center"/>
          </w:tcPr>
          <w:p>
            <w:pPr>
              <w:pStyle w:val="1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办公用房运行质量</w:t>
            </w:r>
          </w:p>
        </w:tc>
        <w:tc>
          <w:tcPr>
            <w:tcW w:w="2835" w:type="dxa"/>
            <w:vAlign w:val="center"/>
          </w:tcPr>
          <w:p>
            <w:pPr>
              <w:pStyle w:val="16"/>
            </w:pPr>
            <w:r>
              <w:t>保障办公用房运行质量</w:t>
            </w:r>
          </w:p>
        </w:tc>
        <w:tc>
          <w:tcPr>
            <w:tcW w:w="2551" w:type="dxa"/>
            <w:vAlign w:val="center"/>
          </w:tcPr>
          <w:p>
            <w:pPr>
              <w:pStyle w:val="16"/>
            </w:pPr>
            <w:r>
              <w:t>进一步有效保障</w:t>
            </w:r>
          </w:p>
        </w:tc>
        <w:tc>
          <w:tcPr>
            <w:tcW w:w="2268" w:type="dxa"/>
            <w:vAlign w:val="center"/>
          </w:tcPr>
          <w:p>
            <w:pPr>
              <w:pStyle w:val="16"/>
            </w:pPr>
            <w:r>
              <w:t>办公用房物业管理服务费项目工作计划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缴存职工满意度</w:t>
            </w:r>
          </w:p>
        </w:tc>
        <w:tc>
          <w:tcPr>
            <w:tcW w:w="2835" w:type="dxa"/>
            <w:vAlign w:val="center"/>
          </w:tcPr>
          <w:p>
            <w:pPr>
              <w:pStyle w:val="16"/>
            </w:pPr>
            <w:r>
              <w:t>缴存职工的满意程度</w:t>
            </w:r>
          </w:p>
        </w:tc>
        <w:tc>
          <w:tcPr>
            <w:tcW w:w="2551" w:type="dxa"/>
            <w:vAlign w:val="center"/>
          </w:tcPr>
          <w:p>
            <w:pPr>
              <w:pStyle w:val="16"/>
            </w:pPr>
            <w:r>
              <w:t>≥90%</w:t>
            </w:r>
          </w:p>
        </w:tc>
        <w:tc>
          <w:tcPr>
            <w:tcW w:w="2268" w:type="dxa"/>
            <w:vAlign w:val="center"/>
          </w:tcPr>
          <w:p>
            <w:pPr>
              <w:pStyle w:val="16"/>
            </w:pPr>
            <w:r>
              <w:t>服务评价统计结果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2、住房公积金业务管理信息系统运行维护费绩效目标表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1.通过对住房公积金业务管理信息系统的运行维护和升级改造，保障公积金主业务系统、网上业务系统和综合服务平台系统安全、稳定、高效运行。</w:t>
            </w:r>
            <w:r>
              <w:tab/>
            </w:r>
            <w:r>
              <w:tab/>
            </w:r>
            <w:r>
              <w:tab/>
            </w:r>
            <w:r>
              <w:tab/>
            </w:r>
            <w:r>
              <w:tab/>
            </w:r>
            <w:r>
              <w:tab/>
            </w:r>
          </w:p>
          <w:p>
            <w:pPr>
              <w:pStyle w:val="16"/>
            </w:pPr>
            <w:r>
              <w:t>2.通过对住房公积金业务管理信息系统的运行维护和升级改造，在公积金归集、提取、贷款等方面更好地服务职工，提高缴存职工满意度。</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硬件设备运维成本</w:t>
            </w:r>
          </w:p>
        </w:tc>
        <w:tc>
          <w:tcPr>
            <w:tcW w:w="2835" w:type="dxa"/>
            <w:vAlign w:val="center"/>
          </w:tcPr>
          <w:p>
            <w:pPr>
              <w:pStyle w:val="16"/>
            </w:pPr>
            <w:r>
              <w:t>所需维护的硬件设备成本</w:t>
            </w:r>
          </w:p>
        </w:tc>
        <w:tc>
          <w:tcPr>
            <w:tcW w:w="2551" w:type="dxa"/>
            <w:vAlign w:val="center"/>
          </w:tcPr>
          <w:p>
            <w:pPr>
              <w:pStyle w:val="16"/>
            </w:pPr>
            <w:r>
              <w:t>≤51.5万元</w:t>
            </w:r>
          </w:p>
        </w:tc>
        <w:tc>
          <w:tcPr>
            <w:tcW w:w="2268" w:type="dxa"/>
            <w:vAlign w:val="center"/>
          </w:tcPr>
          <w:p>
            <w:pPr>
              <w:pStyle w:val="1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软件系统运维成本</w:t>
            </w:r>
          </w:p>
        </w:tc>
        <w:tc>
          <w:tcPr>
            <w:tcW w:w="2835" w:type="dxa"/>
            <w:vAlign w:val="center"/>
          </w:tcPr>
          <w:p>
            <w:pPr>
              <w:pStyle w:val="16"/>
            </w:pPr>
            <w:r>
              <w:t>所需维护的软件系统成本</w:t>
            </w:r>
          </w:p>
        </w:tc>
        <w:tc>
          <w:tcPr>
            <w:tcW w:w="2551" w:type="dxa"/>
            <w:vAlign w:val="center"/>
          </w:tcPr>
          <w:p>
            <w:pPr>
              <w:pStyle w:val="16"/>
            </w:pPr>
            <w:r>
              <w:t>≤223.1万元</w:t>
            </w:r>
          </w:p>
        </w:tc>
        <w:tc>
          <w:tcPr>
            <w:tcW w:w="2268" w:type="dxa"/>
            <w:vAlign w:val="center"/>
          </w:tcPr>
          <w:p>
            <w:pPr>
              <w:pStyle w:val="1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机房运维面积</w:t>
            </w:r>
          </w:p>
        </w:tc>
        <w:tc>
          <w:tcPr>
            <w:tcW w:w="2835" w:type="dxa"/>
            <w:vAlign w:val="center"/>
          </w:tcPr>
          <w:p>
            <w:pPr>
              <w:pStyle w:val="16"/>
            </w:pPr>
            <w:r>
              <w:t>所需运维的机房面积</w:t>
            </w:r>
          </w:p>
        </w:tc>
        <w:tc>
          <w:tcPr>
            <w:tcW w:w="2551" w:type="dxa"/>
            <w:vAlign w:val="center"/>
          </w:tcPr>
          <w:p>
            <w:pPr>
              <w:pStyle w:val="16"/>
            </w:pPr>
            <w:r>
              <w:t>≥90平方米</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购入设备数量</w:t>
            </w:r>
          </w:p>
        </w:tc>
        <w:tc>
          <w:tcPr>
            <w:tcW w:w="2835" w:type="dxa"/>
            <w:vAlign w:val="center"/>
          </w:tcPr>
          <w:p>
            <w:pPr>
              <w:pStyle w:val="16"/>
            </w:pPr>
            <w:r>
              <w:t>购入高拍仪、OCR设备等业务设备数量</w:t>
            </w:r>
          </w:p>
        </w:tc>
        <w:tc>
          <w:tcPr>
            <w:tcW w:w="2551" w:type="dxa"/>
            <w:vAlign w:val="center"/>
          </w:tcPr>
          <w:p>
            <w:pPr>
              <w:pStyle w:val="16"/>
            </w:pPr>
            <w:r>
              <w:t>≥30台</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开发接口的数量</w:t>
            </w:r>
          </w:p>
        </w:tc>
        <w:tc>
          <w:tcPr>
            <w:tcW w:w="2835" w:type="dxa"/>
            <w:vAlign w:val="center"/>
          </w:tcPr>
          <w:p>
            <w:pPr>
              <w:pStyle w:val="16"/>
            </w:pPr>
            <w:r>
              <w:t>所需开发接口的数量</w:t>
            </w:r>
          </w:p>
        </w:tc>
        <w:tc>
          <w:tcPr>
            <w:tcW w:w="2551" w:type="dxa"/>
            <w:vAlign w:val="center"/>
          </w:tcPr>
          <w:p>
            <w:pPr>
              <w:pStyle w:val="16"/>
            </w:pPr>
            <w:r>
              <w:t>≥64个</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异常处理能力</w:t>
            </w:r>
          </w:p>
        </w:tc>
        <w:tc>
          <w:tcPr>
            <w:tcW w:w="2835" w:type="dxa"/>
            <w:vAlign w:val="center"/>
          </w:tcPr>
          <w:p>
            <w:pPr>
              <w:pStyle w:val="16"/>
            </w:pPr>
            <w:r>
              <w:t>系统发现或处理的异常次数占系统所发生的异常总次数的比率</w:t>
            </w:r>
          </w:p>
        </w:tc>
        <w:tc>
          <w:tcPr>
            <w:tcW w:w="2551" w:type="dxa"/>
            <w:vAlign w:val="center"/>
          </w:tcPr>
          <w:p>
            <w:pPr>
              <w:pStyle w:val="16"/>
            </w:pPr>
            <w:r>
              <w:t>≥99%</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设备采购完成时间</w:t>
            </w:r>
          </w:p>
        </w:tc>
        <w:tc>
          <w:tcPr>
            <w:tcW w:w="2835" w:type="dxa"/>
            <w:vAlign w:val="center"/>
          </w:tcPr>
          <w:p>
            <w:pPr>
              <w:pStyle w:val="16"/>
            </w:pPr>
            <w:r>
              <w:t>需购入的设备完成采购手续的时间</w:t>
            </w:r>
          </w:p>
        </w:tc>
        <w:tc>
          <w:tcPr>
            <w:tcW w:w="2551" w:type="dxa"/>
            <w:vAlign w:val="center"/>
          </w:tcPr>
          <w:p>
            <w:pPr>
              <w:pStyle w:val="16"/>
            </w:pPr>
            <w:r>
              <w:t>≤11月</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验收时间</w:t>
            </w:r>
          </w:p>
        </w:tc>
        <w:tc>
          <w:tcPr>
            <w:tcW w:w="2835" w:type="dxa"/>
            <w:vAlign w:val="center"/>
          </w:tcPr>
          <w:p>
            <w:pPr>
              <w:pStyle w:val="16"/>
            </w:pPr>
            <w:r>
              <w:t>购入的设备及维护的软硬件完成验收的时间</w:t>
            </w:r>
          </w:p>
        </w:tc>
        <w:tc>
          <w:tcPr>
            <w:tcW w:w="2551" w:type="dxa"/>
            <w:vAlign w:val="center"/>
          </w:tcPr>
          <w:p>
            <w:pPr>
              <w:pStyle w:val="16"/>
            </w:pPr>
            <w:r>
              <w:t>≤11月</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故障处理时间</w:t>
            </w:r>
          </w:p>
        </w:tc>
        <w:tc>
          <w:tcPr>
            <w:tcW w:w="2835" w:type="dxa"/>
            <w:vAlign w:val="center"/>
          </w:tcPr>
          <w:p>
            <w:pPr>
              <w:pStyle w:val="16"/>
            </w:pPr>
            <w:r>
              <w:t>发生故障及时处理的时间</w:t>
            </w:r>
          </w:p>
        </w:tc>
        <w:tc>
          <w:tcPr>
            <w:tcW w:w="2551" w:type="dxa"/>
            <w:vAlign w:val="center"/>
          </w:tcPr>
          <w:p>
            <w:pPr>
              <w:pStyle w:val="16"/>
            </w:pPr>
            <w:r>
              <w:t>≤24小时</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设备购置成本</w:t>
            </w:r>
          </w:p>
        </w:tc>
        <w:tc>
          <w:tcPr>
            <w:tcW w:w="2835" w:type="dxa"/>
            <w:vAlign w:val="center"/>
          </w:tcPr>
          <w:p>
            <w:pPr>
              <w:pStyle w:val="16"/>
            </w:pPr>
            <w:r>
              <w:t>购入的设备成本</w:t>
            </w:r>
          </w:p>
        </w:tc>
        <w:tc>
          <w:tcPr>
            <w:tcW w:w="2551" w:type="dxa"/>
            <w:vAlign w:val="center"/>
          </w:tcPr>
          <w:p>
            <w:pPr>
              <w:pStyle w:val="16"/>
            </w:pPr>
            <w:r>
              <w:t>≤155.4万元</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硬件维护覆盖率</w:t>
            </w:r>
          </w:p>
        </w:tc>
        <w:tc>
          <w:tcPr>
            <w:tcW w:w="2835" w:type="dxa"/>
            <w:vAlign w:val="center"/>
          </w:tcPr>
          <w:p>
            <w:pPr>
              <w:pStyle w:val="16"/>
            </w:pPr>
            <w:r>
              <w:t>对硬件维护范围占应维护范围的比率</w:t>
            </w:r>
          </w:p>
        </w:tc>
        <w:tc>
          <w:tcPr>
            <w:tcW w:w="2551" w:type="dxa"/>
            <w:vAlign w:val="center"/>
          </w:tcPr>
          <w:p>
            <w:pPr>
              <w:pStyle w:val="16"/>
            </w:pPr>
            <w:r>
              <w:t>≥90%</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硬件设备验收合格率</w:t>
            </w:r>
          </w:p>
        </w:tc>
        <w:tc>
          <w:tcPr>
            <w:tcW w:w="2835" w:type="dxa"/>
            <w:vAlign w:val="center"/>
          </w:tcPr>
          <w:p>
            <w:pPr>
              <w:pStyle w:val="16"/>
            </w:pPr>
            <w:r>
              <w:t>购入的硬件设备达到验收合格要求</w:t>
            </w:r>
          </w:p>
        </w:tc>
        <w:tc>
          <w:tcPr>
            <w:tcW w:w="2551" w:type="dxa"/>
            <w:vAlign w:val="center"/>
          </w:tcPr>
          <w:p>
            <w:pPr>
              <w:pStyle w:val="16"/>
            </w:pPr>
            <w:r>
              <w:t>≥98%</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保障时间响应率</w:t>
            </w:r>
          </w:p>
        </w:tc>
        <w:tc>
          <w:tcPr>
            <w:tcW w:w="2835" w:type="dxa"/>
            <w:vAlign w:val="center"/>
          </w:tcPr>
          <w:p>
            <w:pPr>
              <w:pStyle w:val="16"/>
            </w:pPr>
            <w:r>
              <w:t>客服在线服务时间</w:t>
            </w:r>
          </w:p>
        </w:tc>
        <w:tc>
          <w:tcPr>
            <w:tcW w:w="2551" w:type="dxa"/>
            <w:vAlign w:val="center"/>
          </w:tcPr>
          <w:p>
            <w:pPr>
              <w:pStyle w:val="16"/>
            </w:pPr>
            <w:r>
              <w:t>24小时</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系统高效稳定运行</w:t>
            </w:r>
          </w:p>
        </w:tc>
        <w:tc>
          <w:tcPr>
            <w:tcW w:w="2835" w:type="dxa"/>
            <w:vAlign w:val="center"/>
          </w:tcPr>
          <w:p>
            <w:pPr>
              <w:pStyle w:val="16"/>
            </w:pPr>
            <w:r>
              <w:t>系统高效稳定程度</w:t>
            </w:r>
          </w:p>
        </w:tc>
        <w:tc>
          <w:tcPr>
            <w:tcW w:w="2551" w:type="dxa"/>
            <w:vAlign w:val="center"/>
          </w:tcPr>
          <w:p>
            <w:pPr>
              <w:pStyle w:val="16"/>
            </w:pPr>
            <w:r>
              <w:t>基本稳定</w:t>
            </w:r>
          </w:p>
        </w:tc>
        <w:tc>
          <w:tcPr>
            <w:tcW w:w="2268" w:type="dxa"/>
            <w:vAlign w:val="center"/>
          </w:tcPr>
          <w:p>
            <w:pPr>
              <w:pStyle w:val="16"/>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设备可持续运行期限</w:t>
            </w:r>
          </w:p>
        </w:tc>
        <w:tc>
          <w:tcPr>
            <w:tcW w:w="2835" w:type="dxa"/>
            <w:vAlign w:val="center"/>
          </w:tcPr>
          <w:p>
            <w:pPr>
              <w:pStyle w:val="16"/>
            </w:pPr>
            <w:r>
              <w:t>所购设备使用年限</w:t>
            </w:r>
          </w:p>
        </w:tc>
        <w:tc>
          <w:tcPr>
            <w:tcW w:w="2551" w:type="dxa"/>
            <w:vAlign w:val="center"/>
          </w:tcPr>
          <w:p>
            <w:pPr>
              <w:pStyle w:val="16"/>
            </w:pPr>
            <w:r>
              <w:t>≥6年</w:t>
            </w:r>
          </w:p>
        </w:tc>
        <w:tc>
          <w:tcPr>
            <w:tcW w:w="2268" w:type="dxa"/>
            <w:vAlign w:val="center"/>
          </w:tcPr>
          <w:p>
            <w:pPr>
              <w:pStyle w:val="16"/>
            </w:pPr>
            <w:r>
              <w:t>《政府会计准则第3号-固定资产》应用指南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缴存职工满意度</w:t>
            </w:r>
          </w:p>
        </w:tc>
        <w:tc>
          <w:tcPr>
            <w:tcW w:w="2835" w:type="dxa"/>
            <w:vAlign w:val="center"/>
          </w:tcPr>
          <w:p>
            <w:pPr>
              <w:pStyle w:val="16"/>
            </w:pPr>
            <w:r>
              <w:t>调查中满意和较满意的职工占调查总人数的比重</w:t>
            </w:r>
          </w:p>
        </w:tc>
        <w:tc>
          <w:tcPr>
            <w:tcW w:w="2551" w:type="dxa"/>
            <w:vAlign w:val="center"/>
          </w:tcPr>
          <w:p>
            <w:pPr>
              <w:pStyle w:val="16"/>
            </w:pPr>
            <w:r>
              <w:t>≥90%</w:t>
            </w:r>
          </w:p>
        </w:tc>
        <w:tc>
          <w:tcPr>
            <w:tcW w:w="2268" w:type="dxa"/>
            <w:vAlign w:val="center"/>
          </w:tcPr>
          <w:p>
            <w:pPr>
              <w:pStyle w:val="16"/>
            </w:pPr>
            <w:r>
              <w:t>服务评价统计结果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3、住房公积金综合事务管理绩效目标表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1.通过委托专业档案存储机构对中心纸质档案进行更科学、更高水平的规范管理，延长纸质档案使用寿命，降低纸质档案管理风险。</w:t>
            </w:r>
          </w:p>
          <w:p>
            <w:pPr>
              <w:pStyle w:val="16"/>
            </w:pPr>
            <w:r>
              <w:t>2.通过购置公务用车，提高中心管理水平。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托管档案数量</w:t>
            </w:r>
          </w:p>
        </w:tc>
        <w:tc>
          <w:tcPr>
            <w:tcW w:w="2835" w:type="dxa"/>
            <w:vAlign w:val="center"/>
          </w:tcPr>
          <w:p>
            <w:pPr>
              <w:pStyle w:val="16"/>
            </w:pPr>
            <w:r>
              <w:t>委托管理的纸质档案数量</w:t>
            </w:r>
          </w:p>
        </w:tc>
        <w:tc>
          <w:tcPr>
            <w:tcW w:w="2551" w:type="dxa"/>
            <w:vAlign w:val="center"/>
          </w:tcPr>
          <w:p>
            <w:pPr>
              <w:pStyle w:val="16"/>
            </w:pPr>
            <w:r>
              <w:t>≥2133箱</w:t>
            </w:r>
          </w:p>
        </w:tc>
        <w:tc>
          <w:tcPr>
            <w:tcW w:w="2268" w:type="dxa"/>
            <w:vAlign w:val="center"/>
          </w:tcPr>
          <w:p>
            <w:pPr>
              <w:pStyle w:val="16"/>
            </w:pPr>
            <w:r>
              <w:t>住房公积金综合事务管理项目工作计划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公务用车购置数量</w:t>
            </w:r>
          </w:p>
        </w:tc>
        <w:tc>
          <w:tcPr>
            <w:tcW w:w="2835" w:type="dxa"/>
            <w:vAlign w:val="center"/>
          </w:tcPr>
          <w:p>
            <w:pPr>
              <w:pStyle w:val="16"/>
            </w:pPr>
            <w:r>
              <w:t>购置公务用车的数量</w:t>
            </w:r>
          </w:p>
        </w:tc>
        <w:tc>
          <w:tcPr>
            <w:tcW w:w="2551" w:type="dxa"/>
            <w:vAlign w:val="center"/>
          </w:tcPr>
          <w:p>
            <w:pPr>
              <w:pStyle w:val="16"/>
            </w:pPr>
            <w:r>
              <w:t>1辆</w:t>
            </w:r>
          </w:p>
        </w:tc>
        <w:tc>
          <w:tcPr>
            <w:tcW w:w="2268" w:type="dxa"/>
            <w:vAlign w:val="center"/>
          </w:tcPr>
          <w:p>
            <w:pPr>
              <w:pStyle w:val="16"/>
            </w:pPr>
            <w:r>
              <w:t>住房公积金综合事务管理项目工作计划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托管档案完整性</w:t>
            </w:r>
          </w:p>
        </w:tc>
        <w:tc>
          <w:tcPr>
            <w:tcW w:w="2835" w:type="dxa"/>
            <w:vAlign w:val="center"/>
          </w:tcPr>
          <w:p>
            <w:pPr>
              <w:pStyle w:val="16"/>
            </w:pPr>
            <w:r>
              <w:t>托管档案一年内未遗失、损坏</w:t>
            </w:r>
          </w:p>
        </w:tc>
        <w:tc>
          <w:tcPr>
            <w:tcW w:w="2551" w:type="dxa"/>
            <w:vAlign w:val="center"/>
          </w:tcPr>
          <w:p>
            <w:pPr>
              <w:pStyle w:val="16"/>
            </w:pPr>
            <w:r>
              <w:t>档案完整</w:t>
            </w:r>
          </w:p>
        </w:tc>
        <w:tc>
          <w:tcPr>
            <w:tcW w:w="2268" w:type="dxa"/>
            <w:vAlign w:val="center"/>
          </w:tcPr>
          <w:p>
            <w:pPr>
              <w:pStyle w:val="16"/>
            </w:pPr>
            <w:r>
              <w:t>住房公积金综合事务管理项目工作计划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档案托管成本</w:t>
            </w:r>
          </w:p>
        </w:tc>
        <w:tc>
          <w:tcPr>
            <w:tcW w:w="2835" w:type="dxa"/>
            <w:vAlign w:val="center"/>
          </w:tcPr>
          <w:p>
            <w:pPr>
              <w:pStyle w:val="16"/>
            </w:pPr>
            <w:r>
              <w:t>档案托管项目所需成本</w:t>
            </w:r>
          </w:p>
        </w:tc>
        <w:tc>
          <w:tcPr>
            <w:tcW w:w="2551" w:type="dxa"/>
            <w:vAlign w:val="center"/>
          </w:tcPr>
          <w:p>
            <w:pPr>
              <w:pStyle w:val="16"/>
            </w:pPr>
            <w:r>
              <w:t>≤30元/箱</w:t>
            </w:r>
          </w:p>
        </w:tc>
        <w:tc>
          <w:tcPr>
            <w:tcW w:w="2268" w:type="dxa"/>
            <w:vAlign w:val="center"/>
          </w:tcPr>
          <w:p>
            <w:pPr>
              <w:pStyle w:val="1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公务用车购置成本</w:t>
            </w:r>
          </w:p>
        </w:tc>
        <w:tc>
          <w:tcPr>
            <w:tcW w:w="2835" w:type="dxa"/>
            <w:vAlign w:val="center"/>
          </w:tcPr>
          <w:p>
            <w:pPr>
              <w:pStyle w:val="16"/>
            </w:pPr>
            <w:r>
              <w:t>购置公务用车的成本</w:t>
            </w:r>
          </w:p>
        </w:tc>
        <w:tc>
          <w:tcPr>
            <w:tcW w:w="2551" w:type="dxa"/>
            <w:vAlign w:val="center"/>
          </w:tcPr>
          <w:p>
            <w:pPr>
              <w:pStyle w:val="16"/>
            </w:pPr>
            <w:r>
              <w:t>≤18万元</w:t>
            </w:r>
          </w:p>
        </w:tc>
        <w:tc>
          <w:tcPr>
            <w:tcW w:w="2268" w:type="dxa"/>
            <w:vAlign w:val="center"/>
          </w:tcPr>
          <w:p>
            <w:pPr>
              <w:pStyle w:val="16"/>
            </w:pPr>
            <w:r>
              <w:t>《河北省党政机关公务用车管理实施办法》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受益职工人数</w:t>
            </w:r>
          </w:p>
        </w:tc>
        <w:tc>
          <w:tcPr>
            <w:tcW w:w="2835" w:type="dxa"/>
            <w:vAlign w:val="center"/>
          </w:tcPr>
          <w:p>
            <w:pPr>
              <w:pStyle w:val="16"/>
            </w:pPr>
            <w:r>
              <w:t>受益职工人数</w:t>
            </w:r>
          </w:p>
        </w:tc>
        <w:tc>
          <w:tcPr>
            <w:tcW w:w="2551" w:type="dxa"/>
            <w:vAlign w:val="center"/>
          </w:tcPr>
          <w:p>
            <w:pPr>
              <w:pStyle w:val="16"/>
            </w:pPr>
            <w:r>
              <w:t>≥18万人</w:t>
            </w:r>
          </w:p>
        </w:tc>
        <w:tc>
          <w:tcPr>
            <w:tcW w:w="2268" w:type="dxa"/>
            <w:vAlign w:val="center"/>
          </w:tcPr>
          <w:p>
            <w:pPr>
              <w:pStyle w:val="16"/>
            </w:pPr>
            <w:r>
              <w:t>公积金缴存职工总量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缴存职工满意度</w:t>
            </w:r>
          </w:p>
        </w:tc>
        <w:tc>
          <w:tcPr>
            <w:tcW w:w="2835" w:type="dxa"/>
            <w:vAlign w:val="center"/>
          </w:tcPr>
          <w:p>
            <w:pPr>
              <w:pStyle w:val="16"/>
            </w:pPr>
            <w:r>
              <w:t>缴存职工的满意程度</w:t>
            </w:r>
          </w:p>
        </w:tc>
        <w:tc>
          <w:tcPr>
            <w:tcW w:w="2551" w:type="dxa"/>
            <w:vAlign w:val="center"/>
          </w:tcPr>
          <w:p>
            <w:pPr>
              <w:pStyle w:val="16"/>
            </w:pPr>
            <w:r>
              <w:t>≥90%</w:t>
            </w:r>
          </w:p>
        </w:tc>
        <w:tc>
          <w:tcPr>
            <w:tcW w:w="2268" w:type="dxa"/>
            <w:vAlign w:val="center"/>
          </w:tcPr>
          <w:p>
            <w:pPr>
              <w:pStyle w:val="16"/>
            </w:pPr>
            <w:r>
              <w:t>服务评价统计结果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2023年，河北省省直住房资金中心安排政府采购预算734.62万元。具体内容见下表。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431河北省省直住房资金中心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734.62</w:t>
            </w:r>
          </w:p>
        </w:tc>
        <w:tc>
          <w:tcPr>
            <w:tcW w:w="964" w:type="dxa"/>
            <w:vAlign w:val="center"/>
          </w:tcPr>
          <w:p>
            <w:pPr>
              <w:pStyle w:val="19"/>
            </w:pPr>
            <w:r>
              <w:t>734.62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8"/>
            </w:pPr>
            <w:r>
              <w:t>河北省省直住房资金中心本级小计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734.62</w:t>
            </w:r>
          </w:p>
        </w:tc>
        <w:tc>
          <w:tcPr>
            <w:tcW w:w="964" w:type="dxa"/>
            <w:vAlign w:val="center"/>
          </w:tcPr>
          <w:p>
            <w:pPr>
              <w:pStyle w:val="19"/>
            </w:pPr>
            <w:r>
              <w:t>734.62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0.18</w:t>
            </w:r>
          </w:p>
        </w:tc>
        <w:tc>
          <w:tcPr>
            <w:tcW w:w="964" w:type="dxa"/>
            <w:vAlign w:val="center"/>
          </w:tcPr>
          <w:p>
            <w:pPr>
              <w:pStyle w:val="15"/>
            </w:pPr>
            <w:r>
              <w:t>0.18</w:t>
            </w:r>
          </w:p>
        </w:tc>
        <w:tc>
          <w:tcPr>
            <w:tcW w:w="964" w:type="dxa"/>
            <w:vAlign w:val="center"/>
          </w:tcPr>
          <w:p>
            <w:pPr>
              <w:pStyle w:val="15"/>
            </w:pPr>
            <w:r>
              <w:t>0.18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办公椅</w:t>
            </w:r>
          </w:p>
        </w:tc>
        <w:tc>
          <w:tcPr>
            <w:tcW w:w="1134" w:type="dxa"/>
            <w:vAlign w:val="center"/>
          </w:tcPr>
          <w:p>
            <w:pPr>
              <w:pStyle w:val="16"/>
            </w:pPr>
            <w:r>
              <w:t>A05010301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0.96</w:t>
            </w:r>
          </w:p>
        </w:tc>
        <w:tc>
          <w:tcPr>
            <w:tcW w:w="964" w:type="dxa"/>
            <w:vAlign w:val="center"/>
          </w:tcPr>
          <w:p>
            <w:pPr>
              <w:pStyle w:val="15"/>
            </w:pPr>
            <w:r>
              <w:t>0.96</w:t>
            </w:r>
          </w:p>
        </w:tc>
        <w:tc>
          <w:tcPr>
            <w:tcW w:w="964" w:type="dxa"/>
            <w:vAlign w:val="center"/>
          </w:tcPr>
          <w:p>
            <w:pPr>
              <w:pStyle w:val="15"/>
            </w:pPr>
            <w:r>
              <w:t>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会议椅</w:t>
            </w:r>
          </w:p>
        </w:tc>
        <w:tc>
          <w:tcPr>
            <w:tcW w:w="1134" w:type="dxa"/>
            <w:vAlign w:val="center"/>
          </w:tcPr>
          <w:p>
            <w:pPr>
              <w:pStyle w:val="16"/>
            </w:pPr>
            <w:r>
              <w:t>A05010303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0.45</w:t>
            </w: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其他柜类</w:t>
            </w:r>
          </w:p>
        </w:tc>
        <w:tc>
          <w:tcPr>
            <w:tcW w:w="1134" w:type="dxa"/>
            <w:vAlign w:val="center"/>
          </w:tcPr>
          <w:p>
            <w:pPr>
              <w:pStyle w:val="16"/>
            </w:pPr>
            <w:r>
              <w:t>A05010599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复印纸</w:t>
            </w:r>
          </w:p>
        </w:tc>
        <w:tc>
          <w:tcPr>
            <w:tcW w:w="1134" w:type="dxa"/>
            <w:vAlign w:val="center"/>
          </w:tcPr>
          <w:p>
            <w:pPr>
              <w:pStyle w:val="16"/>
            </w:pPr>
            <w:r>
              <w:t>A05040101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0.55</w:t>
            </w:r>
          </w:p>
        </w:tc>
        <w:tc>
          <w:tcPr>
            <w:tcW w:w="964" w:type="dxa"/>
            <w:vAlign w:val="center"/>
          </w:tcPr>
          <w:p>
            <w:pPr>
              <w:pStyle w:val="15"/>
            </w:pPr>
            <w:r>
              <w:t>0.55</w:t>
            </w:r>
          </w:p>
        </w:tc>
        <w:tc>
          <w:tcPr>
            <w:tcW w:w="964" w:type="dxa"/>
            <w:vAlign w:val="center"/>
          </w:tcPr>
          <w:p>
            <w:pPr>
              <w:pStyle w:val="15"/>
            </w:pPr>
            <w:r>
              <w:t>0.55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基础软件</w:t>
            </w:r>
          </w:p>
        </w:tc>
        <w:tc>
          <w:tcPr>
            <w:tcW w:w="1134" w:type="dxa"/>
            <w:vAlign w:val="center"/>
          </w:tcPr>
          <w:p>
            <w:pPr>
              <w:pStyle w:val="16"/>
            </w:pPr>
            <w:r>
              <w:t>A08060301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1.71</w:t>
            </w:r>
          </w:p>
        </w:tc>
        <w:tc>
          <w:tcPr>
            <w:tcW w:w="964" w:type="dxa"/>
            <w:vAlign w:val="center"/>
          </w:tcPr>
          <w:p>
            <w:pPr>
              <w:pStyle w:val="15"/>
            </w:pPr>
            <w:r>
              <w:t>1.71</w:t>
            </w:r>
          </w:p>
        </w:tc>
        <w:tc>
          <w:tcPr>
            <w:tcW w:w="964" w:type="dxa"/>
            <w:vAlign w:val="center"/>
          </w:tcPr>
          <w:p>
            <w:pPr>
              <w:pStyle w:val="15"/>
            </w:pPr>
            <w:r>
              <w:t>1.71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财产保险服务</w:t>
            </w:r>
          </w:p>
        </w:tc>
        <w:tc>
          <w:tcPr>
            <w:tcW w:w="1134" w:type="dxa"/>
            <w:vAlign w:val="center"/>
          </w:tcPr>
          <w:p>
            <w:pPr>
              <w:pStyle w:val="16"/>
            </w:pPr>
            <w:r>
              <w:t>C18040102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1.10</w:t>
            </w: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合同能源管理服务</w:t>
            </w:r>
          </w:p>
        </w:tc>
        <w:tc>
          <w:tcPr>
            <w:tcW w:w="1134" w:type="dxa"/>
            <w:vAlign w:val="center"/>
          </w:tcPr>
          <w:p>
            <w:pPr>
              <w:pStyle w:val="16"/>
            </w:pPr>
            <w:r>
              <w:t>C19070000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45.00</w:t>
            </w:r>
          </w:p>
        </w:tc>
        <w:tc>
          <w:tcPr>
            <w:tcW w:w="964" w:type="dxa"/>
            <w:vAlign w:val="center"/>
          </w:tcPr>
          <w:p>
            <w:pPr>
              <w:pStyle w:val="15"/>
            </w:pPr>
            <w:r>
              <w:t>45.00</w:t>
            </w: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5.27</w:t>
            </w:r>
          </w:p>
        </w:tc>
        <w:tc>
          <w:tcPr>
            <w:tcW w:w="964" w:type="dxa"/>
            <w:vAlign w:val="center"/>
          </w:tcPr>
          <w:p>
            <w:pPr>
              <w:pStyle w:val="15"/>
            </w:pPr>
            <w:r>
              <w:t>5.27</w:t>
            </w:r>
          </w:p>
        </w:tc>
        <w:tc>
          <w:tcPr>
            <w:tcW w:w="964" w:type="dxa"/>
            <w:vAlign w:val="center"/>
          </w:tcPr>
          <w:p>
            <w:pPr>
              <w:pStyle w:val="15"/>
            </w:pPr>
            <w:r>
              <w:t>5.27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车辆维修和保养服务</w:t>
            </w:r>
          </w:p>
        </w:tc>
        <w:tc>
          <w:tcPr>
            <w:tcW w:w="1134" w:type="dxa"/>
            <w:vAlign w:val="center"/>
          </w:tcPr>
          <w:p>
            <w:pPr>
              <w:pStyle w:val="16"/>
            </w:pPr>
            <w:r>
              <w:t>C23120301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248.91</w:t>
            </w:r>
          </w:p>
        </w:tc>
        <w:tc>
          <w:tcPr>
            <w:tcW w:w="1134" w:type="dxa"/>
            <w:vAlign w:val="center"/>
          </w:tcPr>
          <w:p>
            <w:pPr>
              <w:pStyle w:val="16"/>
            </w:pPr>
            <w:r>
              <w:t>其他服务</w:t>
            </w:r>
          </w:p>
        </w:tc>
        <w:tc>
          <w:tcPr>
            <w:tcW w:w="1134" w:type="dxa"/>
            <w:vAlign w:val="center"/>
          </w:tcPr>
          <w:p>
            <w:pPr>
              <w:pStyle w:val="16"/>
            </w:pPr>
            <w:r>
              <w:t>C99000000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70.00</w:t>
            </w:r>
          </w:p>
        </w:tc>
        <w:tc>
          <w:tcPr>
            <w:tcW w:w="964"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办公用房物业管理服务费</w:t>
            </w:r>
          </w:p>
        </w:tc>
        <w:tc>
          <w:tcPr>
            <w:tcW w:w="964" w:type="dxa"/>
            <w:vAlign w:val="center"/>
          </w:tcPr>
          <w:p>
            <w:pPr>
              <w:pStyle w:val="15"/>
            </w:pPr>
            <w:r>
              <w:t>75.00</w:t>
            </w:r>
          </w:p>
        </w:tc>
        <w:tc>
          <w:tcPr>
            <w:tcW w:w="1134" w:type="dxa"/>
            <w:vAlign w:val="center"/>
          </w:tcPr>
          <w:p>
            <w:pPr>
              <w:pStyle w:val="16"/>
            </w:pPr>
            <w:r>
              <w:t>物业管理服务</w:t>
            </w:r>
          </w:p>
        </w:tc>
        <w:tc>
          <w:tcPr>
            <w:tcW w:w="1134" w:type="dxa"/>
            <w:vAlign w:val="center"/>
          </w:tcPr>
          <w:p>
            <w:pPr>
              <w:pStyle w:val="16"/>
            </w:pPr>
            <w:r>
              <w:t>C21040000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75.00</w:t>
            </w:r>
          </w:p>
        </w:tc>
        <w:tc>
          <w:tcPr>
            <w:tcW w:w="964"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服务器</w:t>
            </w:r>
          </w:p>
        </w:tc>
        <w:tc>
          <w:tcPr>
            <w:tcW w:w="1134" w:type="dxa"/>
            <w:vAlign w:val="center"/>
          </w:tcPr>
          <w:p>
            <w:pPr>
              <w:pStyle w:val="16"/>
            </w:pPr>
            <w:r>
              <w:t>A02010104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39.00</w:t>
            </w:r>
          </w:p>
        </w:tc>
        <w:tc>
          <w:tcPr>
            <w:tcW w:w="964" w:type="dxa"/>
            <w:vAlign w:val="center"/>
          </w:tcPr>
          <w:p>
            <w:pPr>
              <w:pStyle w:val="15"/>
            </w:pPr>
            <w:r>
              <w:t>39.00</w:t>
            </w:r>
          </w:p>
        </w:tc>
        <w:tc>
          <w:tcPr>
            <w:tcW w:w="964" w:type="dxa"/>
            <w:vAlign w:val="center"/>
          </w:tcPr>
          <w:p>
            <w:pPr>
              <w:pStyle w:val="15"/>
            </w:pPr>
            <w:r>
              <w:t>39.00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服务器</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8.00</w:t>
            </w:r>
          </w:p>
        </w:tc>
        <w:tc>
          <w:tcPr>
            <w:tcW w:w="964" w:type="dxa"/>
            <w:vAlign w:val="center"/>
          </w:tcPr>
          <w:p>
            <w:pPr>
              <w:pStyle w:val="15"/>
            </w:pPr>
            <w:r>
              <w:t>8.00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1.70</w:t>
            </w:r>
          </w:p>
        </w:tc>
        <w:tc>
          <w:tcPr>
            <w:tcW w:w="964" w:type="dxa"/>
            <w:vAlign w:val="center"/>
          </w:tcPr>
          <w:p>
            <w:pPr>
              <w:pStyle w:val="15"/>
            </w:pPr>
            <w:r>
              <w:t>1.70</w:t>
            </w:r>
          </w:p>
        </w:tc>
        <w:tc>
          <w:tcPr>
            <w:tcW w:w="964" w:type="dxa"/>
            <w:vAlign w:val="center"/>
          </w:tcPr>
          <w:p>
            <w:pPr>
              <w:pStyle w:val="15"/>
            </w:pPr>
            <w:r>
              <w:t>1.70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防火墙</w:t>
            </w:r>
          </w:p>
        </w:tc>
        <w:tc>
          <w:tcPr>
            <w:tcW w:w="1134" w:type="dxa"/>
            <w:vAlign w:val="center"/>
          </w:tcPr>
          <w:p>
            <w:pPr>
              <w:pStyle w:val="16"/>
            </w:pPr>
            <w:r>
              <w:t>A02010301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7.70</w:t>
            </w:r>
          </w:p>
        </w:tc>
        <w:tc>
          <w:tcPr>
            <w:tcW w:w="964" w:type="dxa"/>
            <w:vAlign w:val="center"/>
          </w:tcPr>
          <w:p>
            <w:pPr>
              <w:pStyle w:val="15"/>
            </w:pPr>
            <w:r>
              <w:t>7.70</w:t>
            </w:r>
          </w:p>
        </w:tc>
        <w:tc>
          <w:tcPr>
            <w:tcW w:w="964" w:type="dxa"/>
            <w:vAlign w:val="center"/>
          </w:tcPr>
          <w:p>
            <w:pPr>
              <w:pStyle w:val="15"/>
            </w:pPr>
            <w:r>
              <w:t>7.70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入侵防御设备</w:t>
            </w:r>
          </w:p>
        </w:tc>
        <w:tc>
          <w:tcPr>
            <w:tcW w:w="1134" w:type="dxa"/>
            <w:vAlign w:val="center"/>
          </w:tcPr>
          <w:p>
            <w:pPr>
              <w:pStyle w:val="16"/>
            </w:pPr>
            <w:r>
              <w:t>A02010303</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9.20</w:t>
            </w:r>
          </w:p>
        </w:tc>
        <w:tc>
          <w:tcPr>
            <w:tcW w:w="964" w:type="dxa"/>
            <w:vAlign w:val="center"/>
          </w:tcPr>
          <w:p>
            <w:pPr>
              <w:pStyle w:val="15"/>
            </w:pPr>
            <w:r>
              <w:t>9.20</w:t>
            </w:r>
          </w:p>
        </w:tc>
        <w:tc>
          <w:tcPr>
            <w:tcW w:w="964" w:type="dxa"/>
            <w:vAlign w:val="center"/>
          </w:tcPr>
          <w:p>
            <w:pPr>
              <w:pStyle w:val="15"/>
            </w:pPr>
            <w:r>
              <w:t>9.20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高拍仪</w:t>
            </w:r>
          </w:p>
        </w:tc>
        <w:tc>
          <w:tcPr>
            <w:tcW w:w="1134" w:type="dxa"/>
            <w:vAlign w:val="center"/>
          </w:tcPr>
          <w:p>
            <w:pPr>
              <w:pStyle w:val="16"/>
            </w:pPr>
            <w:r>
              <w:t>A02021120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10.80</w:t>
            </w:r>
          </w:p>
        </w:tc>
        <w:tc>
          <w:tcPr>
            <w:tcW w:w="964" w:type="dxa"/>
            <w:vAlign w:val="center"/>
          </w:tcPr>
          <w:p>
            <w:pPr>
              <w:pStyle w:val="15"/>
            </w:pPr>
            <w:r>
              <w:t>10.80</w:t>
            </w:r>
          </w:p>
        </w:tc>
        <w:tc>
          <w:tcPr>
            <w:tcW w:w="964" w:type="dxa"/>
            <w:vAlign w:val="center"/>
          </w:tcPr>
          <w:p>
            <w:pPr>
              <w:pStyle w:val="15"/>
            </w:pPr>
            <w:r>
              <w:t>10.80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基础软件</w:t>
            </w:r>
          </w:p>
        </w:tc>
        <w:tc>
          <w:tcPr>
            <w:tcW w:w="1134" w:type="dxa"/>
            <w:vAlign w:val="center"/>
          </w:tcPr>
          <w:p>
            <w:pPr>
              <w:pStyle w:val="16"/>
            </w:pPr>
            <w:r>
              <w:t>A08060301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42.95</w:t>
            </w:r>
          </w:p>
        </w:tc>
        <w:tc>
          <w:tcPr>
            <w:tcW w:w="964" w:type="dxa"/>
            <w:vAlign w:val="center"/>
          </w:tcPr>
          <w:p>
            <w:pPr>
              <w:pStyle w:val="15"/>
            </w:pPr>
            <w:r>
              <w:t>42.95</w:t>
            </w:r>
          </w:p>
        </w:tc>
        <w:tc>
          <w:tcPr>
            <w:tcW w:w="964" w:type="dxa"/>
            <w:vAlign w:val="center"/>
          </w:tcPr>
          <w:p>
            <w:pPr>
              <w:pStyle w:val="15"/>
            </w:pPr>
            <w:r>
              <w:t>42.95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基础软件</w:t>
            </w:r>
          </w:p>
        </w:tc>
        <w:tc>
          <w:tcPr>
            <w:tcW w:w="1134" w:type="dxa"/>
            <w:vAlign w:val="center"/>
          </w:tcPr>
          <w:p>
            <w:pPr>
              <w:pStyle w:val="16"/>
            </w:pPr>
            <w:r>
              <w:t>A08060301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31.00</w:t>
            </w:r>
          </w:p>
        </w:tc>
        <w:tc>
          <w:tcPr>
            <w:tcW w:w="964" w:type="dxa"/>
            <w:vAlign w:val="center"/>
          </w:tcPr>
          <w:p>
            <w:pPr>
              <w:pStyle w:val="15"/>
            </w:pPr>
            <w:r>
              <w:t>31.00</w:t>
            </w:r>
          </w:p>
        </w:tc>
        <w:tc>
          <w:tcPr>
            <w:tcW w:w="964" w:type="dxa"/>
            <w:vAlign w:val="center"/>
          </w:tcPr>
          <w:p>
            <w:pPr>
              <w:pStyle w:val="15"/>
            </w:pPr>
            <w:r>
              <w:t>31.00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应用软件</w:t>
            </w:r>
          </w:p>
        </w:tc>
        <w:tc>
          <w:tcPr>
            <w:tcW w:w="1134" w:type="dxa"/>
            <w:vAlign w:val="center"/>
          </w:tcPr>
          <w:p>
            <w:pPr>
              <w:pStyle w:val="16"/>
            </w:pPr>
            <w:r>
              <w:t>A08060303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0.35</w:t>
            </w:r>
          </w:p>
        </w:tc>
        <w:tc>
          <w:tcPr>
            <w:tcW w:w="964" w:type="dxa"/>
            <w:vAlign w:val="center"/>
          </w:tcPr>
          <w:p>
            <w:pPr>
              <w:pStyle w:val="15"/>
            </w:pPr>
            <w:r>
              <w:t>0.35</w:t>
            </w:r>
          </w:p>
        </w:tc>
        <w:tc>
          <w:tcPr>
            <w:tcW w:w="964" w:type="dxa"/>
            <w:vAlign w:val="center"/>
          </w:tcPr>
          <w:p>
            <w:pPr>
              <w:pStyle w:val="15"/>
            </w:pPr>
            <w:r>
              <w:t>0.35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行业应用软件开发服务</w:t>
            </w:r>
          </w:p>
        </w:tc>
        <w:tc>
          <w:tcPr>
            <w:tcW w:w="1134" w:type="dxa"/>
            <w:vAlign w:val="center"/>
          </w:tcPr>
          <w:p>
            <w:pPr>
              <w:pStyle w:val="16"/>
            </w:pPr>
            <w:r>
              <w:t>C16010302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22.00</w:t>
            </w:r>
          </w:p>
        </w:tc>
        <w:tc>
          <w:tcPr>
            <w:tcW w:w="964" w:type="dxa"/>
            <w:vAlign w:val="center"/>
          </w:tcPr>
          <w:p>
            <w:pPr>
              <w:pStyle w:val="15"/>
            </w:pPr>
            <w:r>
              <w:t>22.00</w:t>
            </w:r>
          </w:p>
        </w:tc>
        <w:tc>
          <w:tcPr>
            <w:tcW w:w="964" w:type="dxa"/>
            <w:vAlign w:val="center"/>
          </w:tcPr>
          <w:p>
            <w:pPr>
              <w:pStyle w:val="15"/>
            </w:pPr>
            <w:r>
              <w:t>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行业应用软件开发服务</w:t>
            </w:r>
          </w:p>
        </w:tc>
        <w:tc>
          <w:tcPr>
            <w:tcW w:w="1134" w:type="dxa"/>
            <w:vAlign w:val="center"/>
          </w:tcPr>
          <w:p>
            <w:pPr>
              <w:pStyle w:val="16"/>
            </w:pPr>
            <w:r>
              <w:t>C16010302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86.00</w:t>
            </w:r>
          </w:p>
        </w:tc>
        <w:tc>
          <w:tcPr>
            <w:tcW w:w="964" w:type="dxa"/>
            <w:vAlign w:val="center"/>
          </w:tcPr>
          <w:p>
            <w:pPr>
              <w:pStyle w:val="15"/>
            </w:pPr>
            <w:r>
              <w:t>86.00</w:t>
            </w:r>
          </w:p>
        </w:tc>
        <w:tc>
          <w:tcPr>
            <w:tcW w:w="964" w:type="dxa"/>
            <w:vAlign w:val="center"/>
          </w:tcPr>
          <w:p>
            <w:pPr>
              <w:pStyle w:val="15"/>
            </w:pPr>
            <w:r>
              <w:t>86.00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测试评估认证服务</w:t>
            </w:r>
          </w:p>
        </w:tc>
        <w:tc>
          <w:tcPr>
            <w:tcW w:w="1134" w:type="dxa"/>
            <w:vAlign w:val="center"/>
          </w:tcPr>
          <w:p>
            <w:pPr>
              <w:pStyle w:val="16"/>
            </w:pPr>
            <w:r>
              <w:t>C16060000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12.00</w:t>
            </w: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基础环境运维服务</w:t>
            </w:r>
          </w:p>
        </w:tc>
        <w:tc>
          <w:tcPr>
            <w:tcW w:w="1134" w:type="dxa"/>
            <w:vAlign w:val="center"/>
          </w:tcPr>
          <w:p>
            <w:pPr>
              <w:pStyle w:val="16"/>
            </w:pPr>
            <w:r>
              <w:t>C16070100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硬件运维服务</w:t>
            </w:r>
          </w:p>
        </w:tc>
        <w:tc>
          <w:tcPr>
            <w:tcW w:w="1134" w:type="dxa"/>
            <w:vAlign w:val="center"/>
          </w:tcPr>
          <w:p>
            <w:pPr>
              <w:pStyle w:val="16"/>
            </w:pPr>
            <w:r>
              <w:t>C16070200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35.30</w:t>
            </w:r>
          </w:p>
        </w:tc>
        <w:tc>
          <w:tcPr>
            <w:tcW w:w="964" w:type="dxa"/>
            <w:vAlign w:val="center"/>
          </w:tcPr>
          <w:p>
            <w:pPr>
              <w:pStyle w:val="15"/>
            </w:pPr>
            <w:r>
              <w:t>35.30</w:t>
            </w:r>
          </w:p>
        </w:tc>
        <w:tc>
          <w:tcPr>
            <w:tcW w:w="964" w:type="dxa"/>
            <w:vAlign w:val="center"/>
          </w:tcPr>
          <w:p>
            <w:pPr>
              <w:pStyle w:val="15"/>
            </w:pPr>
            <w:r>
              <w:t>35.30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硬件运维服务</w:t>
            </w:r>
          </w:p>
        </w:tc>
        <w:tc>
          <w:tcPr>
            <w:tcW w:w="1134" w:type="dxa"/>
            <w:vAlign w:val="center"/>
          </w:tcPr>
          <w:p>
            <w:pPr>
              <w:pStyle w:val="16"/>
            </w:pPr>
            <w:r>
              <w:t>C16070200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软件运维服务</w:t>
            </w:r>
          </w:p>
        </w:tc>
        <w:tc>
          <w:tcPr>
            <w:tcW w:w="1134" w:type="dxa"/>
            <w:vAlign w:val="center"/>
          </w:tcPr>
          <w:p>
            <w:pPr>
              <w:pStyle w:val="16"/>
            </w:pPr>
            <w:r>
              <w:t>C16070300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安全运维服务</w:t>
            </w:r>
          </w:p>
        </w:tc>
        <w:tc>
          <w:tcPr>
            <w:tcW w:w="1134" w:type="dxa"/>
            <w:vAlign w:val="center"/>
          </w:tcPr>
          <w:p>
            <w:pPr>
              <w:pStyle w:val="16"/>
            </w:pPr>
            <w:r>
              <w:t>C16070400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16.20</w:t>
            </w:r>
          </w:p>
        </w:tc>
        <w:tc>
          <w:tcPr>
            <w:tcW w:w="964" w:type="dxa"/>
            <w:vAlign w:val="center"/>
          </w:tcPr>
          <w:p>
            <w:pPr>
              <w:pStyle w:val="15"/>
            </w:pPr>
            <w:r>
              <w:t>16.20</w:t>
            </w:r>
          </w:p>
        </w:tc>
        <w:tc>
          <w:tcPr>
            <w:tcW w:w="964" w:type="dxa"/>
            <w:vAlign w:val="center"/>
          </w:tcPr>
          <w:p>
            <w:pPr>
              <w:pStyle w:val="15"/>
            </w:pPr>
            <w:r>
              <w:t>16.20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安全运维服务</w:t>
            </w:r>
          </w:p>
        </w:tc>
        <w:tc>
          <w:tcPr>
            <w:tcW w:w="1134" w:type="dxa"/>
            <w:vAlign w:val="center"/>
          </w:tcPr>
          <w:p>
            <w:pPr>
              <w:pStyle w:val="16"/>
            </w:pPr>
            <w:r>
              <w:t>C16070400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87.10</w:t>
            </w:r>
          </w:p>
        </w:tc>
        <w:tc>
          <w:tcPr>
            <w:tcW w:w="964" w:type="dxa"/>
            <w:vAlign w:val="center"/>
          </w:tcPr>
          <w:p>
            <w:pPr>
              <w:pStyle w:val="15"/>
            </w:pPr>
            <w:r>
              <w:t>87.10</w:t>
            </w:r>
          </w:p>
        </w:tc>
        <w:tc>
          <w:tcPr>
            <w:tcW w:w="964" w:type="dxa"/>
            <w:vAlign w:val="center"/>
          </w:tcPr>
          <w:p>
            <w:pPr>
              <w:pStyle w:val="15"/>
            </w:pPr>
            <w:r>
              <w:t>87.10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住房公积金业务管理信息系统运行维护费</w:t>
            </w:r>
          </w:p>
        </w:tc>
        <w:tc>
          <w:tcPr>
            <w:tcW w:w="964" w:type="dxa"/>
            <w:vAlign w:val="center"/>
          </w:tcPr>
          <w:p>
            <w:pPr>
              <w:pStyle w:val="15"/>
            </w:pPr>
            <w:r>
              <w:t>527.40</w:t>
            </w:r>
          </w:p>
        </w:tc>
        <w:tc>
          <w:tcPr>
            <w:tcW w:w="1134" w:type="dxa"/>
            <w:vAlign w:val="center"/>
          </w:tcPr>
          <w:p>
            <w:pPr>
              <w:pStyle w:val="16"/>
            </w:pPr>
            <w:r>
              <w:t>其他运行维护服务</w:t>
            </w:r>
          </w:p>
        </w:tc>
        <w:tc>
          <w:tcPr>
            <w:tcW w:w="1134" w:type="dxa"/>
            <w:vAlign w:val="center"/>
          </w:tcPr>
          <w:p>
            <w:pPr>
              <w:pStyle w:val="16"/>
            </w:pPr>
            <w:r>
              <w:t>C16079900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13.00</w:t>
            </w:r>
          </w:p>
        </w:tc>
        <w:tc>
          <w:tcPr>
            <w:tcW w:w="964"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6"/>
            </w:pPr>
            <w:r>
              <w:t>住房公积金综合事务管理</w:t>
            </w:r>
          </w:p>
        </w:tc>
        <w:tc>
          <w:tcPr>
            <w:tcW w:w="964" w:type="dxa"/>
            <w:vAlign w:val="center"/>
          </w:tcPr>
          <w:p>
            <w:pPr>
              <w:pStyle w:val="15"/>
            </w:pPr>
            <w:r>
              <w:t>26.40</w:t>
            </w:r>
          </w:p>
        </w:tc>
        <w:tc>
          <w:tcPr>
            <w:tcW w:w="1134" w:type="dxa"/>
            <w:vAlign w:val="center"/>
          </w:tcPr>
          <w:p>
            <w:pPr>
              <w:pStyle w:val="16"/>
            </w:pPr>
            <w:r>
              <w:t>轿车</w:t>
            </w:r>
          </w:p>
        </w:tc>
        <w:tc>
          <w:tcPr>
            <w:tcW w:w="1134" w:type="dxa"/>
            <w:vAlign w:val="center"/>
          </w:tcPr>
          <w:p>
            <w:pPr>
              <w:pStyle w:val="16"/>
            </w:pPr>
            <w:r>
              <w:t>A02030501</w:t>
            </w:r>
          </w:p>
        </w:tc>
        <w:tc>
          <w:tcPr>
            <w:tcW w:w="709" w:type="dxa"/>
            <w:vAlign w:val="center"/>
          </w:tcPr>
          <w:p>
            <w:pPr>
              <w:pStyle w:val="17"/>
            </w:pPr>
            <w:r>
              <w:t>辆</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河北省省直住房资金中心（含所属单位）上年末固定资产金额为1428.04万元（详见下表）。本年度拟购置固定资产总额为183.59万元，已按要求列入政府采购预算，详见政府采购预算表。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431河北省省直住房资金中心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1428.04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20</w:t>
            </w:r>
          </w:p>
        </w:tc>
        <w:tc>
          <w:tcPr>
            <w:tcW w:w="2835" w:type="dxa"/>
            <w:vAlign w:val="center"/>
          </w:tcPr>
          <w:p>
            <w:pPr>
              <w:pStyle w:val="15"/>
            </w:pPr>
            <w:r>
              <w:t>769.73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615</w:t>
            </w:r>
          </w:p>
        </w:tc>
        <w:tc>
          <w:tcPr>
            <w:tcW w:w="2835" w:type="dxa"/>
            <w:vAlign w:val="center"/>
          </w:tcPr>
          <w:p>
            <w:pPr>
              <w:pStyle w:val="15"/>
            </w:pPr>
            <w:r>
              <w:t>633.56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w:t>
      </w:r>
      <w:r>
        <w:rPr>
          <w:rFonts w:hint="eastAsia" w:eastAsia="方正仿宋_GBK"/>
          <w:color w:val="000000"/>
          <w:sz w:val="28"/>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A1NTM2YzIyZDYzNjA2Y2JjOGI5YjNlNzI4ZWYwOTQifQ=="/>
  </w:docVars>
  <w:rsids>
    <w:rsidRoot w:val="00EA56C4"/>
    <w:rsid w:val="000711AC"/>
    <w:rsid w:val="00090006"/>
    <w:rsid w:val="001B44BF"/>
    <w:rsid w:val="002C322D"/>
    <w:rsid w:val="002D57A8"/>
    <w:rsid w:val="003170BB"/>
    <w:rsid w:val="00571EDF"/>
    <w:rsid w:val="00591A36"/>
    <w:rsid w:val="00846C4D"/>
    <w:rsid w:val="0089642F"/>
    <w:rsid w:val="008E00DF"/>
    <w:rsid w:val="00B17BBC"/>
    <w:rsid w:val="00C21BB1"/>
    <w:rsid w:val="00C821AA"/>
    <w:rsid w:val="00D2783E"/>
    <w:rsid w:val="00E74490"/>
    <w:rsid w:val="00EA56C4"/>
    <w:rsid w:val="00F455ED"/>
    <w:rsid w:val="360E55BB"/>
    <w:rsid w:val="4A174FF4"/>
    <w:rsid w:val="4C7B54DD"/>
    <w:rsid w:val="5BEC170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8">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0"/>
    <w:pPr>
      <w:tabs>
        <w:tab w:val="center" w:pos="4153"/>
        <w:tab w:val="right" w:pos="8306"/>
      </w:tabs>
      <w:snapToGrid w:val="0"/>
    </w:pPr>
    <w:rPr>
      <w:sz w:val="18"/>
      <w:szCs w:val="18"/>
    </w:rPr>
  </w:style>
  <w:style w:type="paragraph" w:styleId="4">
    <w:name w:val="header"/>
    <w:basedOn w:val="1"/>
    <w:link w:val="33"/>
    <w:unhideWhenUsed/>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uiPriority w:val="0"/>
    <w:p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8"/>
    <w:link w:val="4"/>
    <w:uiPriority w:val="0"/>
    <w:rPr>
      <w:rFonts w:eastAsia="Times New Roman"/>
      <w:sz w:val="18"/>
      <w:szCs w:val="18"/>
    </w:rPr>
  </w:style>
  <w:style w:type="character" w:customStyle="1" w:styleId="34">
    <w:name w:val="页脚 字符"/>
    <w:basedOn w:val="8"/>
    <w:link w:val="3"/>
    <w:uiPriority w:val="0"/>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38</Pages>
  <Words>2460</Words>
  <Characters>14024</Characters>
  <Lines>116</Lines>
  <Paragraphs>32</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2023-01-13T14:24:00Z</dcterms:created>
  <dc:creator>Microsoft</dc:creator>
  <cp:lastModifiedBy>PC</cp:lastModifiedBy>
  <dcterms:modified xsi:type="dcterms:W3CDTF">2023-12-27T05:41:40Z</dcterms:modified>
  <dc:title>2023年部门预算信息公开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0E9B9C185C6F4724A7D3A1632CBD8EED</vt:lpwstr>
  </property>
</Properties>
</file>