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w:t>
      </w:r>
      <w:r>
        <w:rPr>
          <w:rFonts w:hint="eastAsia" w:asciiTheme="minorEastAsia" w:hAnsiTheme="minorEastAsia" w:eastAsiaTheme="minorEastAsia"/>
          <w:lang w:eastAsia="zh-CN"/>
        </w:rPr>
        <w:t>性</w:t>
      </w:r>
      <w:r>
        <w:t>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431河北省省直住房资金中心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2374.43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2374.43</w:t>
            </w:r>
          </w:p>
        </w:tc>
        <w:tc>
          <w:tcPr>
            <w:tcW w:w="4535" w:type="dxa"/>
            <w:vAlign w:val="center"/>
          </w:tcPr>
          <w:p>
            <w:pPr>
              <w:pStyle w:val="16"/>
            </w:pPr>
            <w:r>
              <w:t>本年支出合计</w:t>
            </w:r>
          </w:p>
        </w:tc>
        <w:tc>
          <w:tcPr>
            <w:tcW w:w="2126" w:type="dxa"/>
            <w:vAlign w:val="center"/>
          </w:tcPr>
          <w:p>
            <w:pPr>
              <w:pStyle w:val="17"/>
            </w:pPr>
            <w:r>
              <w:t>2374.43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2374.43</w:t>
            </w:r>
          </w:p>
        </w:tc>
        <w:tc>
          <w:tcPr>
            <w:tcW w:w="4535" w:type="dxa"/>
            <w:vAlign w:val="center"/>
          </w:tcPr>
          <w:p>
            <w:pPr>
              <w:pStyle w:val="16"/>
            </w:pPr>
            <w:r>
              <w:t>支出总计</w:t>
            </w:r>
          </w:p>
        </w:tc>
        <w:tc>
          <w:tcPr>
            <w:tcW w:w="2126" w:type="dxa"/>
            <w:vAlign w:val="center"/>
          </w:tcPr>
          <w:p>
            <w:pPr>
              <w:pStyle w:val="17"/>
            </w:pPr>
            <w:r>
              <w:t>2374.43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431河北省省直住房资金中心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2374.43</w:t>
            </w:r>
          </w:p>
        </w:tc>
        <w:tc>
          <w:tcPr>
            <w:tcW w:w="1134" w:type="dxa"/>
            <w:vAlign w:val="center"/>
          </w:tcPr>
          <w:p>
            <w:pPr>
              <w:pStyle w:val="17"/>
            </w:pPr>
            <w:r>
              <w:t>2374.43</w:t>
            </w:r>
          </w:p>
        </w:tc>
        <w:tc>
          <w:tcPr>
            <w:tcW w:w="1134" w:type="dxa"/>
            <w:vAlign w:val="center"/>
          </w:tcPr>
          <w:p>
            <w:pPr>
              <w:pStyle w:val="17"/>
            </w:pPr>
            <w:r>
              <w:t>2374.43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208.62</w:t>
            </w:r>
          </w:p>
        </w:tc>
        <w:tc>
          <w:tcPr>
            <w:tcW w:w="1134" w:type="dxa"/>
            <w:vAlign w:val="center"/>
          </w:tcPr>
          <w:p>
            <w:pPr>
              <w:pStyle w:val="13"/>
            </w:pPr>
            <w:r>
              <w:t>208.62</w:t>
            </w:r>
          </w:p>
        </w:tc>
        <w:tc>
          <w:tcPr>
            <w:tcW w:w="1134" w:type="dxa"/>
            <w:vAlign w:val="center"/>
          </w:tcPr>
          <w:p>
            <w:pPr>
              <w:pStyle w:val="13"/>
            </w:pPr>
            <w:r>
              <w:t>208.62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208.62</w:t>
            </w:r>
          </w:p>
        </w:tc>
        <w:tc>
          <w:tcPr>
            <w:tcW w:w="1134" w:type="dxa"/>
            <w:vAlign w:val="center"/>
          </w:tcPr>
          <w:p>
            <w:pPr>
              <w:pStyle w:val="13"/>
            </w:pPr>
            <w:r>
              <w:t>208.62</w:t>
            </w:r>
          </w:p>
        </w:tc>
        <w:tc>
          <w:tcPr>
            <w:tcW w:w="1134" w:type="dxa"/>
            <w:vAlign w:val="center"/>
          </w:tcPr>
          <w:p>
            <w:pPr>
              <w:pStyle w:val="13"/>
            </w:pPr>
            <w:r>
              <w:t>208.62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12.72</w:t>
            </w:r>
          </w:p>
        </w:tc>
        <w:tc>
          <w:tcPr>
            <w:tcW w:w="1134" w:type="dxa"/>
            <w:vAlign w:val="center"/>
          </w:tcPr>
          <w:p>
            <w:pPr>
              <w:pStyle w:val="13"/>
            </w:pPr>
            <w:r>
              <w:t>12.72</w:t>
            </w:r>
          </w:p>
        </w:tc>
        <w:tc>
          <w:tcPr>
            <w:tcW w:w="1134" w:type="dxa"/>
            <w:vAlign w:val="center"/>
          </w:tcPr>
          <w:p>
            <w:pPr>
              <w:pStyle w:val="13"/>
            </w:pPr>
            <w:r>
              <w:t>12.72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130.60</w:t>
            </w:r>
          </w:p>
        </w:tc>
        <w:tc>
          <w:tcPr>
            <w:tcW w:w="1134" w:type="dxa"/>
            <w:vAlign w:val="center"/>
          </w:tcPr>
          <w:p>
            <w:pPr>
              <w:pStyle w:val="13"/>
            </w:pPr>
            <w:r>
              <w:t>130.60</w:t>
            </w:r>
          </w:p>
        </w:tc>
        <w:tc>
          <w:tcPr>
            <w:tcW w:w="1134" w:type="dxa"/>
            <w:vAlign w:val="center"/>
          </w:tcPr>
          <w:p>
            <w:pPr>
              <w:pStyle w:val="13"/>
            </w:pPr>
            <w:r>
              <w:t>130.60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65.30</w:t>
            </w:r>
          </w:p>
        </w:tc>
        <w:tc>
          <w:tcPr>
            <w:tcW w:w="1134" w:type="dxa"/>
            <w:vAlign w:val="center"/>
          </w:tcPr>
          <w:p>
            <w:pPr>
              <w:pStyle w:val="13"/>
            </w:pPr>
            <w:r>
              <w:t>65.30</w:t>
            </w:r>
          </w:p>
        </w:tc>
        <w:tc>
          <w:tcPr>
            <w:tcW w:w="1134" w:type="dxa"/>
            <w:vAlign w:val="center"/>
          </w:tcPr>
          <w:p>
            <w:pPr>
              <w:pStyle w:val="13"/>
            </w:pPr>
            <w:r>
              <w:t>65.30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r>
              <w:t>128.00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2037.81</w:t>
            </w:r>
          </w:p>
        </w:tc>
        <w:tc>
          <w:tcPr>
            <w:tcW w:w="1134" w:type="dxa"/>
            <w:vAlign w:val="center"/>
          </w:tcPr>
          <w:p>
            <w:pPr>
              <w:pStyle w:val="13"/>
            </w:pPr>
            <w:r>
              <w:t>2037.81</w:t>
            </w:r>
          </w:p>
        </w:tc>
        <w:tc>
          <w:tcPr>
            <w:tcW w:w="1134" w:type="dxa"/>
            <w:vAlign w:val="center"/>
          </w:tcPr>
          <w:p>
            <w:pPr>
              <w:pStyle w:val="13"/>
            </w:pPr>
            <w:r>
              <w:t>2037.81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107.00</w:t>
            </w:r>
          </w:p>
        </w:tc>
        <w:tc>
          <w:tcPr>
            <w:tcW w:w="1134" w:type="dxa"/>
            <w:vAlign w:val="center"/>
          </w:tcPr>
          <w:p>
            <w:pPr>
              <w:pStyle w:val="13"/>
            </w:pPr>
            <w:r>
              <w:t>107.00</w:t>
            </w:r>
          </w:p>
        </w:tc>
        <w:tc>
          <w:tcPr>
            <w:tcW w:w="1134" w:type="dxa"/>
            <w:vAlign w:val="center"/>
          </w:tcPr>
          <w:p>
            <w:pPr>
              <w:pStyle w:val="13"/>
            </w:pPr>
            <w:r>
              <w:t>107.00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107.00</w:t>
            </w:r>
          </w:p>
        </w:tc>
        <w:tc>
          <w:tcPr>
            <w:tcW w:w="1134" w:type="dxa"/>
            <w:vAlign w:val="center"/>
          </w:tcPr>
          <w:p>
            <w:pPr>
              <w:pStyle w:val="13"/>
            </w:pPr>
            <w:r>
              <w:t>107.00</w:t>
            </w:r>
          </w:p>
        </w:tc>
        <w:tc>
          <w:tcPr>
            <w:tcW w:w="1134" w:type="dxa"/>
            <w:vAlign w:val="center"/>
          </w:tcPr>
          <w:p>
            <w:pPr>
              <w:pStyle w:val="13"/>
            </w:pPr>
            <w:r>
              <w:t>107.00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22103</w:t>
            </w:r>
          </w:p>
        </w:tc>
        <w:tc>
          <w:tcPr>
            <w:tcW w:w="1559" w:type="dxa"/>
            <w:vAlign w:val="center"/>
          </w:tcPr>
          <w:p>
            <w:pPr>
              <w:pStyle w:val="14"/>
            </w:pPr>
            <w:r>
              <w:t>城乡社区住宅</w:t>
            </w:r>
          </w:p>
        </w:tc>
        <w:tc>
          <w:tcPr>
            <w:tcW w:w="1134" w:type="dxa"/>
            <w:vAlign w:val="center"/>
          </w:tcPr>
          <w:p>
            <w:pPr>
              <w:pStyle w:val="13"/>
            </w:pPr>
            <w:r>
              <w:t>1930.81</w:t>
            </w:r>
          </w:p>
        </w:tc>
        <w:tc>
          <w:tcPr>
            <w:tcW w:w="1134" w:type="dxa"/>
            <w:vAlign w:val="center"/>
          </w:tcPr>
          <w:p>
            <w:pPr>
              <w:pStyle w:val="13"/>
            </w:pPr>
            <w:r>
              <w:t>1930.81</w:t>
            </w:r>
          </w:p>
        </w:tc>
        <w:tc>
          <w:tcPr>
            <w:tcW w:w="1134" w:type="dxa"/>
            <w:vAlign w:val="center"/>
          </w:tcPr>
          <w:p>
            <w:pPr>
              <w:pStyle w:val="13"/>
            </w:pPr>
            <w:r>
              <w:t>1930.81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2210302</w:t>
            </w:r>
          </w:p>
        </w:tc>
        <w:tc>
          <w:tcPr>
            <w:tcW w:w="1559" w:type="dxa"/>
            <w:vAlign w:val="center"/>
          </w:tcPr>
          <w:p>
            <w:pPr>
              <w:pStyle w:val="14"/>
            </w:pPr>
            <w:r>
              <w:t>住房公积金管理</w:t>
            </w:r>
          </w:p>
        </w:tc>
        <w:tc>
          <w:tcPr>
            <w:tcW w:w="1134" w:type="dxa"/>
            <w:vAlign w:val="center"/>
          </w:tcPr>
          <w:p>
            <w:pPr>
              <w:pStyle w:val="13"/>
            </w:pPr>
            <w:r>
              <w:t>1930.81</w:t>
            </w:r>
          </w:p>
        </w:tc>
        <w:tc>
          <w:tcPr>
            <w:tcW w:w="1134" w:type="dxa"/>
            <w:vAlign w:val="center"/>
          </w:tcPr>
          <w:p>
            <w:pPr>
              <w:pStyle w:val="13"/>
            </w:pPr>
            <w:r>
              <w:t>1930.81</w:t>
            </w:r>
          </w:p>
        </w:tc>
        <w:tc>
          <w:tcPr>
            <w:tcW w:w="1134" w:type="dxa"/>
            <w:vAlign w:val="center"/>
          </w:tcPr>
          <w:p>
            <w:pPr>
              <w:pStyle w:val="13"/>
            </w:pPr>
            <w:r>
              <w:t>1930.81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2374.43</w:t>
            </w:r>
          </w:p>
        </w:tc>
        <w:tc>
          <w:tcPr>
            <w:tcW w:w="1361" w:type="dxa"/>
            <w:vAlign w:val="center"/>
          </w:tcPr>
          <w:p>
            <w:pPr>
              <w:pStyle w:val="17"/>
            </w:pPr>
            <w:r>
              <w:t>1722.83</w:t>
            </w:r>
          </w:p>
        </w:tc>
        <w:tc>
          <w:tcPr>
            <w:tcW w:w="1361" w:type="dxa"/>
            <w:vAlign w:val="center"/>
          </w:tcPr>
          <w:p>
            <w:pPr>
              <w:pStyle w:val="17"/>
            </w:pPr>
            <w:r>
              <w:t>651.60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208.62</w:t>
            </w:r>
          </w:p>
        </w:tc>
        <w:tc>
          <w:tcPr>
            <w:tcW w:w="1361" w:type="dxa"/>
            <w:vAlign w:val="center"/>
          </w:tcPr>
          <w:p>
            <w:pPr>
              <w:pStyle w:val="13"/>
            </w:pPr>
            <w:r>
              <w:t>208.62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208.62</w:t>
            </w:r>
          </w:p>
        </w:tc>
        <w:tc>
          <w:tcPr>
            <w:tcW w:w="1361" w:type="dxa"/>
            <w:vAlign w:val="center"/>
          </w:tcPr>
          <w:p>
            <w:pPr>
              <w:pStyle w:val="13"/>
            </w:pPr>
            <w:r>
              <w:t>208.62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12.72</w:t>
            </w:r>
          </w:p>
        </w:tc>
        <w:tc>
          <w:tcPr>
            <w:tcW w:w="1361" w:type="dxa"/>
            <w:vAlign w:val="center"/>
          </w:tcPr>
          <w:p>
            <w:pPr>
              <w:pStyle w:val="13"/>
            </w:pPr>
            <w:r>
              <w:t>12.72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130.60</w:t>
            </w:r>
          </w:p>
        </w:tc>
        <w:tc>
          <w:tcPr>
            <w:tcW w:w="1361" w:type="dxa"/>
            <w:vAlign w:val="center"/>
          </w:tcPr>
          <w:p>
            <w:pPr>
              <w:pStyle w:val="13"/>
            </w:pPr>
            <w:r>
              <w:t>130.60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65.30</w:t>
            </w:r>
          </w:p>
        </w:tc>
        <w:tc>
          <w:tcPr>
            <w:tcW w:w="1361" w:type="dxa"/>
            <w:vAlign w:val="center"/>
          </w:tcPr>
          <w:p>
            <w:pPr>
              <w:pStyle w:val="13"/>
            </w:pPr>
            <w:r>
              <w:t>65.30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128.00</w:t>
            </w:r>
          </w:p>
        </w:tc>
        <w:tc>
          <w:tcPr>
            <w:tcW w:w="1361" w:type="dxa"/>
            <w:vAlign w:val="center"/>
          </w:tcPr>
          <w:p>
            <w:pPr>
              <w:pStyle w:val="13"/>
            </w:pPr>
            <w:r>
              <w:t>128.00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128.00</w:t>
            </w:r>
          </w:p>
        </w:tc>
        <w:tc>
          <w:tcPr>
            <w:tcW w:w="1361" w:type="dxa"/>
            <w:vAlign w:val="center"/>
          </w:tcPr>
          <w:p>
            <w:pPr>
              <w:pStyle w:val="13"/>
            </w:pPr>
            <w:r>
              <w:t>128.00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128.00</w:t>
            </w:r>
          </w:p>
        </w:tc>
        <w:tc>
          <w:tcPr>
            <w:tcW w:w="1361" w:type="dxa"/>
            <w:vAlign w:val="center"/>
          </w:tcPr>
          <w:p>
            <w:pPr>
              <w:pStyle w:val="13"/>
            </w:pPr>
            <w:r>
              <w:t>128.00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2037.81</w:t>
            </w:r>
          </w:p>
        </w:tc>
        <w:tc>
          <w:tcPr>
            <w:tcW w:w="1361" w:type="dxa"/>
            <w:vAlign w:val="center"/>
          </w:tcPr>
          <w:p>
            <w:pPr>
              <w:pStyle w:val="13"/>
            </w:pPr>
            <w:r>
              <w:t>1386.21</w:t>
            </w:r>
          </w:p>
        </w:tc>
        <w:tc>
          <w:tcPr>
            <w:tcW w:w="1361" w:type="dxa"/>
            <w:vAlign w:val="center"/>
          </w:tcPr>
          <w:p>
            <w:pPr>
              <w:pStyle w:val="13"/>
            </w:pPr>
            <w:r>
              <w:t>651.60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107.00</w:t>
            </w: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107.00</w:t>
            </w: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22103</w:t>
            </w:r>
          </w:p>
        </w:tc>
        <w:tc>
          <w:tcPr>
            <w:tcW w:w="4535" w:type="dxa"/>
            <w:vAlign w:val="center"/>
          </w:tcPr>
          <w:p>
            <w:pPr>
              <w:pStyle w:val="14"/>
            </w:pPr>
            <w:r>
              <w:t>城乡社区住宅</w:t>
            </w:r>
          </w:p>
        </w:tc>
        <w:tc>
          <w:tcPr>
            <w:tcW w:w="1361" w:type="dxa"/>
            <w:vAlign w:val="center"/>
          </w:tcPr>
          <w:p>
            <w:pPr>
              <w:pStyle w:val="13"/>
            </w:pPr>
            <w:r>
              <w:t>1930.81</w:t>
            </w:r>
          </w:p>
        </w:tc>
        <w:tc>
          <w:tcPr>
            <w:tcW w:w="1361" w:type="dxa"/>
            <w:vAlign w:val="center"/>
          </w:tcPr>
          <w:p>
            <w:pPr>
              <w:pStyle w:val="13"/>
            </w:pPr>
            <w:r>
              <w:t>1279.21</w:t>
            </w:r>
          </w:p>
        </w:tc>
        <w:tc>
          <w:tcPr>
            <w:tcW w:w="1361" w:type="dxa"/>
            <w:vAlign w:val="center"/>
          </w:tcPr>
          <w:p>
            <w:pPr>
              <w:pStyle w:val="13"/>
            </w:pPr>
            <w:r>
              <w:t>651.60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2210302</w:t>
            </w:r>
          </w:p>
        </w:tc>
        <w:tc>
          <w:tcPr>
            <w:tcW w:w="4535" w:type="dxa"/>
            <w:vAlign w:val="center"/>
          </w:tcPr>
          <w:p>
            <w:pPr>
              <w:pStyle w:val="14"/>
            </w:pPr>
            <w:r>
              <w:t>住房公积金管理</w:t>
            </w:r>
          </w:p>
        </w:tc>
        <w:tc>
          <w:tcPr>
            <w:tcW w:w="1361" w:type="dxa"/>
            <w:vAlign w:val="center"/>
          </w:tcPr>
          <w:p>
            <w:pPr>
              <w:pStyle w:val="13"/>
            </w:pPr>
            <w:r>
              <w:t>1930.81</w:t>
            </w:r>
          </w:p>
        </w:tc>
        <w:tc>
          <w:tcPr>
            <w:tcW w:w="1361" w:type="dxa"/>
            <w:vAlign w:val="center"/>
          </w:tcPr>
          <w:p>
            <w:pPr>
              <w:pStyle w:val="13"/>
            </w:pPr>
            <w:r>
              <w:t>1279.21</w:t>
            </w:r>
          </w:p>
        </w:tc>
        <w:tc>
          <w:tcPr>
            <w:tcW w:w="1361" w:type="dxa"/>
            <w:vAlign w:val="center"/>
          </w:tcPr>
          <w:p>
            <w:pPr>
              <w:pStyle w:val="13"/>
            </w:pPr>
            <w:r>
              <w:t>651.60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2374.43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208.62</w:t>
            </w:r>
          </w:p>
        </w:tc>
        <w:tc>
          <w:tcPr>
            <w:tcW w:w="1474" w:type="dxa"/>
            <w:vAlign w:val="center"/>
          </w:tcPr>
          <w:p>
            <w:pPr>
              <w:pStyle w:val="13"/>
            </w:pPr>
            <w:r>
              <w:t>208.62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128.00</w:t>
            </w:r>
          </w:p>
        </w:tc>
        <w:tc>
          <w:tcPr>
            <w:tcW w:w="1474" w:type="dxa"/>
            <w:vAlign w:val="center"/>
          </w:tcPr>
          <w:p>
            <w:pPr>
              <w:pStyle w:val="13"/>
            </w:pPr>
            <w:r>
              <w:t>128.00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2037.81</w:t>
            </w:r>
          </w:p>
        </w:tc>
        <w:tc>
          <w:tcPr>
            <w:tcW w:w="1474" w:type="dxa"/>
            <w:vAlign w:val="center"/>
          </w:tcPr>
          <w:p>
            <w:pPr>
              <w:pStyle w:val="13"/>
            </w:pPr>
            <w:r>
              <w:t>2037.81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2374.43</w:t>
            </w:r>
          </w:p>
        </w:tc>
        <w:tc>
          <w:tcPr>
            <w:tcW w:w="3402" w:type="dxa"/>
            <w:vAlign w:val="center"/>
          </w:tcPr>
          <w:p>
            <w:pPr>
              <w:pStyle w:val="16"/>
            </w:pPr>
            <w:r>
              <w:t>本年支出合计</w:t>
            </w:r>
          </w:p>
        </w:tc>
        <w:tc>
          <w:tcPr>
            <w:tcW w:w="1474" w:type="dxa"/>
            <w:vAlign w:val="center"/>
          </w:tcPr>
          <w:p>
            <w:pPr>
              <w:pStyle w:val="17"/>
            </w:pPr>
            <w:r>
              <w:t>2374.43</w:t>
            </w:r>
          </w:p>
        </w:tc>
        <w:tc>
          <w:tcPr>
            <w:tcW w:w="1474" w:type="dxa"/>
            <w:vAlign w:val="center"/>
          </w:tcPr>
          <w:p>
            <w:pPr>
              <w:pStyle w:val="17"/>
            </w:pPr>
            <w:r>
              <w:t>2374.43</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2374.43</w:t>
            </w:r>
          </w:p>
        </w:tc>
        <w:tc>
          <w:tcPr>
            <w:tcW w:w="3402" w:type="dxa"/>
            <w:vAlign w:val="center"/>
          </w:tcPr>
          <w:p>
            <w:pPr>
              <w:pStyle w:val="16"/>
            </w:pPr>
            <w:r>
              <w:t>支出总计</w:t>
            </w:r>
          </w:p>
        </w:tc>
        <w:tc>
          <w:tcPr>
            <w:tcW w:w="1474" w:type="dxa"/>
            <w:vAlign w:val="center"/>
          </w:tcPr>
          <w:p>
            <w:pPr>
              <w:pStyle w:val="17"/>
            </w:pPr>
            <w:r>
              <w:t>2374.43</w:t>
            </w:r>
          </w:p>
        </w:tc>
        <w:tc>
          <w:tcPr>
            <w:tcW w:w="1474" w:type="dxa"/>
            <w:vAlign w:val="center"/>
          </w:tcPr>
          <w:p>
            <w:pPr>
              <w:pStyle w:val="17"/>
            </w:pPr>
            <w:r>
              <w:t>2374.43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2374.43</w:t>
            </w:r>
          </w:p>
        </w:tc>
        <w:tc>
          <w:tcPr>
            <w:tcW w:w="2551" w:type="dxa"/>
            <w:vAlign w:val="center"/>
          </w:tcPr>
          <w:p>
            <w:pPr>
              <w:pStyle w:val="17"/>
            </w:pPr>
            <w:r>
              <w:t>1722.83</w:t>
            </w:r>
          </w:p>
        </w:tc>
        <w:tc>
          <w:tcPr>
            <w:tcW w:w="2551" w:type="dxa"/>
            <w:vAlign w:val="center"/>
          </w:tcPr>
          <w:p>
            <w:pPr>
              <w:pStyle w:val="17"/>
            </w:pPr>
            <w:r>
              <w:t>651.60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208.62</w:t>
            </w:r>
          </w:p>
        </w:tc>
        <w:tc>
          <w:tcPr>
            <w:tcW w:w="2551" w:type="dxa"/>
            <w:vAlign w:val="center"/>
          </w:tcPr>
          <w:p>
            <w:pPr>
              <w:pStyle w:val="13"/>
            </w:pPr>
            <w:r>
              <w:t>208.62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208.62</w:t>
            </w:r>
          </w:p>
        </w:tc>
        <w:tc>
          <w:tcPr>
            <w:tcW w:w="2551" w:type="dxa"/>
            <w:vAlign w:val="center"/>
          </w:tcPr>
          <w:p>
            <w:pPr>
              <w:pStyle w:val="13"/>
            </w:pPr>
            <w:r>
              <w:t>208.62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12.72</w:t>
            </w:r>
          </w:p>
        </w:tc>
        <w:tc>
          <w:tcPr>
            <w:tcW w:w="2551" w:type="dxa"/>
            <w:vAlign w:val="center"/>
          </w:tcPr>
          <w:p>
            <w:pPr>
              <w:pStyle w:val="13"/>
            </w:pPr>
            <w:r>
              <w:t>12.72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130.60</w:t>
            </w:r>
          </w:p>
        </w:tc>
        <w:tc>
          <w:tcPr>
            <w:tcW w:w="2551" w:type="dxa"/>
            <w:vAlign w:val="center"/>
          </w:tcPr>
          <w:p>
            <w:pPr>
              <w:pStyle w:val="13"/>
            </w:pPr>
            <w:r>
              <w:t>130.60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65.30</w:t>
            </w:r>
          </w:p>
        </w:tc>
        <w:tc>
          <w:tcPr>
            <w:tcW w:w="2551" w:type="dxa"/>
            <w:vAlign w:val="center"/>
          </w:tcPr>
          <w:p>
            <w:pPr>
              <w:pStyle w:val="13"/>
            </w:pPr>
            <w:r>
              <w:t>65.30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128.00</w:t>
            </w:r>
          </w:p>
        </w:tc>
        <w:tc>
          <w:tcPr>
            <w:tcW w:w="2551" w:type="dxa"/>
            <w:vAlign w:val="center"/>
          </w:tcPr>
          <w:p>
            <w:pPr>
              <w:pStyle w:val="13"/>
            </w:pPr>
            <w:r>
              <w:t>128.00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128.00</w:t>
            </w:r>
          </w:p>
        </w:tc>
        <w:tc>
          <w:tcPr>
            <w:tcW w:w="2551" w:type="dxa"/>
            <w:vAlign w:val="center"/>
          </w:tcPr>
          <w:p>
            <w:pPr>
              <w:pStyle w:val="13"/>
            </w:pPr>
            <w:r>
              <w:t>128.00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128.00</w:t>
            </w:r>
          </w:p>
        </w:tc>
        <w:tc>
          <w:tcPr>
            <w:tcW w:w="2551" w:type="dxa"/>
            <w:vAlign w:val="center"/>
          </w:tcPr>
          <w:p>
            <w:pPr>
              <w:pStyle w:val="13"/>
            </w:pPr>
            <w:r>
              <w:t>128.00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2037.81</w:t>
            </w:r>
          </w:p>
        </w:tc>
        <w:tc>
          <w:tcPr>
            <w:tcW w:w="2551" w:type="dxa"/>
            <w:vAlign w:val="center"/>
          </w:tcPr>
          <w:p>
            <w:pPr>
              <w:pStyle w:val="13"/>
            </w:pPr>
            <w:r>
              <w:t>1386.21</w:t>
            </w:r>
          </w:p>
        </w:tc>
        <w:tc>
          <w:tcPr>
            <w:tcW w:w="2551" w:type="dxa"/>
            <w:vAlign w:val="center"/>
          </w:tcPr>
          <w:p>
            <w:pPr>
              <w:pStyle w:val="13"/>
            </w:pPr>
            <w:r>
              <w:t>651.60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107.00</w:t>
            </w:r>
          </w:p>
        </w:tc>
        <w:tc>
          <w:tcPr>
            <w:tcW w:w="2551" w:type="dxa"/>
            <w:vAlign w:val="center"/>
          </w:tcPr>
          <w:p>
            <w:pPr>
              <w:pStyle w:val="13"/>
            </w:pPr>
            <w:r>
              <w:t>107.00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107.00</w:t>
            </w:r>
          </w:p>
        </w:tc>
        <w:tc>
          <w:tcPr>
            <w:tcW w:w="2551" w:type="dxa"/>
            <w:vAlign w:val="center"/>
          </w:tcPr>
          <w:p>
            <w:pPr>
              <w:pStyle w:val="13"/>
            </w:pPr>
            <w:r>
              <w:t>107.00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22103</w:t>
            </w:r>
          </w:p>
        </w:tc>
        <w:tc>
          <w:tcPr>
            <w:tcW w:w="4535" w:type="dxa"/>
            <w:vAlign w:val="center"/>
          </w:tcPr>
          <w:p>
            <w:pPr>
              <w:pStyle w:val="14"/>
            </w:pPr>
            <w:r>
              <w:t>城乡社区住宅</w:t>
            </w:r>
          </w:p>
        </w:tc>
        <w:tc>
          <w:tcPr>
            <w:tcW w:w="2551" w:type="dxa"/>
            <w:vAlign w:val="center"/>
          </w:tcPr>
          <w:p>
            <w:pPr>
              <w:pStyle w:val="13"/>
            </w:pPr>
            <w:r>
              <w:t>1930.81</w:t>
            </w:r>
          </w:p>
        </w:tc>
        <w:tc>
          <w:tcPr>
            <w:tcW w:w="2551" w:type="dxa"/>
            <w:vAlign w:val="center"/>
          </w:tcPr>
          <w:p>
            <w:pPr>
              <w:pStyle w:val="13"/>
            </w:pPr>
            <w:r>
              <w:t>1279.21</w:t>
            </w:r>
          </w:p>
        </w:tc>
        <w:tc>
          <w:tcPr>
            <w:tcW w:w="2551" w:type="dxa"/>
            <w:vAlign w:val="center"/>
          </w:tcPr>
          <w:p>
            <w:pPr>
              <w:pStyle w:val="13"/>
            </w:pPr>
            <w:r>
              <w:t>651.60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2210302</w:t>
            </w:r>
          </w:p>
        </w:tc>
        <w:tc>
          <w:tcPr>
            <w:tcW w:w="4535" w:type="dxa"/>
            <w:vAlign w:val="center"/>
          </w:tcPr>
          <w:p>
            <w:pPr>
              <w:pStyle w:val="14"/>
            </w:pPr>
            <w:r>
              <w:t>住房公积金管理</w:t>
            </w:r>
          </w:p>
        </w:tc>
        <w:tc>
          <w:tcPr>
            <w:tcW w:w="2551" w:type="dxa"/>
            <w:vAlign w:val="center"/>
          </w:tcPr>
          <w:p>
            <w:pPr>
              <w:pStyle w:val="13"/>
            </w:pPr>
            <w:r>
              <w:t>1930.81</w:t>
            </w:r>
          </w:p>
        </w:tc>
        <w:tc>
          <w:tcPr>
            <w:tcW w:w="2551" w:type="dxa"/>
            <w:vAlign w:val="center"/>
          </w:tcPr>
          <w:p>
            <w:pPr>
              <w:pStyle w:val="13"/>
            </w:pPr>
            <w:r>
              <w:t>1279.21</w:t>
            </w:r>
          </w:p>
        </w:tc>
        <w:tc>
          <w:tcPr>
            <w:tcW w:w="2551" w:type="dxa"/>
            <w:vAlign w:val="center"/>
          </w:tcPr>
          <w:p>
            <w:pPr>
              <w:pStyle w:val="13"/>
            </w:pPr>
            <w:r>
              <w:t>651.60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1722.83</w:t>
            </w:r>
          </w:p>
        </w:tc>
        <w:tc>
          <w:tcPr>
            <w:tcW w:w="2551" w:type="dxa"/>
            <w:vAlign w:val="center"/>
          </w:tcPr>
          <w:p>
            <w:pPr>
              <w:pStyle w:val="17"/>
            </w:pPr>
            <w:r>
              <w:t>1464.03</w:t>
            </w:r>
          </w:p>
        </w:tc>
        <w:tc>
          <w:tcPr>
            <w:tcW w:w="2551" w:type="dxa"/>
            <w:vAlign w:val="center"/>
          </w:tcPr>
          <w:p>
            <w:pPr>
              <w:pStyle w:val="17"/>
            </w:pPr>
            <w:r>
              <w:t>258.80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1452.00</w:t>
            </w:r>
          </w:p>
        </w:tc>
        <w:tc>
          <w:tcPr>
            <w:tcW w:w="2551" w:type="dxa"/>
            <w:vAlign w:val="center"/>
          </w:tcPr>
          <w:p>
            <w:pPr>
              <w:pStyle w:val="13"/>
            </w:pPr>
            <w:r>
              <w:t>1452.00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223.50</w:t>
            </w:r>
          </w:p>
        </w:tc>
        <w:tc>
          <w:tcPr>
            <w:tcW w:w="2551" w:type="dxa"/>
            <w:vAlign w:val="center"/>
          </w:tcPr>
          <w:p>
            <w:pPr>
              <w:pStyle w:val="13"/>
            </w:pPr>
            <w:r>
              <w:t>223.50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45.50</w:t>
            </w:r>
          </w:p>
        </w:tc>
        <w:tc>
          <w:tcPr>
            <w:tcW w:w="2551" w:type="dxa"/>
            <w:vAlign w:val="center"/>
          </w:tcPr>
          <w:p>
            <w:pPr>
              <w:pStyle w:val="13"/>
            </w:pPr>
            <w:r>
              <w:t>45.50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241.10</w:t>
            </w:r>
          </w:p>
        </w:tc>
        <w:tc>
          <w:tcPr>
            <w:tcW w:w="2551" w:type="dxa"/>
            <w:vAlign w:val="center"/>
          </w:tcPr>
          <w:p>
            <w:pPr>
              <w:pStyle w:val="13"/>
            </w:pPr>
            <w:r>
              <w:t>241.10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451.00</w:t>
            </w:r>
          </w:p>
        </w:tc>
        <w:tc>
          <w:tcPr>
            <w:tcW w:w="2551" w:type="dxa"/>
            <w:vAlign w:val="center"/>
          </w:tcPr>
          <w:p>
            <w:pPr>
              <w:pStyle w:val="13"/>
            </w:pPr>
            <w:r>
              <w:t>451.00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130.60</w:t>
            </w:r>
          </w:p>
        </w:tc>
        <w:tc>
          <w:tcPr>
            <w:tcW w:w="2551" w:type="dxa"/>
            <w:vAlign w:val="center"/>
          </w:tcPr>
          <w:p>
            <w:pPr>
              <w:pStyle w:val="13"/>
            </w:pPr>
            <w:r>
              <w:t>130.60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65.30</w:t>
            </w:r>
          </w:p>
        </w:tc>
        <w:tc>
          <w:tcPr>
            <w:tcW w:w="2551" w:type="dxa"/>
            <w:vAlign w:val="center"/>
          </w:tcPr>
          <w:p>
            <w:pPr>
              <w:pStyle w:val="13"/>
            </w:pPr>
            <w:r>
              <w:t>65.30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57.00</w:t>
            </w:r>
          </w:p>
        </w:tc>
        <w:tc>
          <w:tcPr>
            <w:tcW w:w="2551" w:type="dxa"/>
            <w:vAlign w:val="center"/>
          </w:tcPr>
          <w:p>
            <w:pPr>
              <w:pStyle w:val="13"/>
            </w:pPr>
            <w:r>
              <w:t>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107.00</w:t>
            </w:r>
          </w:p>
        </w:tc>
        <w:tc>
          <w:tcPr>
            <w:tcW w:w="2551" w:type="dxa"/>
            <w:vAlign w:val="center"/>
          </w:tcPr>
          <w:p>
            <w:pPr>
              <w:pStyle w:val="13"/>
            </w:pPr>
            <w:r>
              <w:t>107.00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45.00</w:t>
            </w:r>
          </w:p>
        </w:tc>
        <w:tc>
          <w:tcPr>
            <w:tcW w:w="2551" w:type="dxa"/>
            <w:vAlign w:val="center"/>
          </w:tcPr>
          <w:p>
            <w:pPr>
              <w:pStyle w:val="13"/>
            </w:pPr>
            <w:r>
              <w:t>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253.40</w:t>
            </w:r>
          </w:p>
        </w:tc>
        <w:tc>
          <w:tcPr>
            <w:tcW w:w="2551" w:type="dxa"/>
            <w:vAlign w:val="center"/>
          </w:tcPr>
          <w:p>
            <w:pPr>
              <w:pStyle w:val="13"/>
            </w:pPr>
          </w:p>
        </w:tc>
        <w:tc>
          <w:tcPr>
            <w:tcW w:w="2551" w:type="dxa"/>
            <w:vAlign w:val="center"/>
          </w:tcPr>
          <w:p>
            <w:pPr>
              <w:pStyle w:val="13"/>
            </w:pPr>
            <w:r>
              <w:t>253.40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2.04</w:t>
            </w:r>
          </w:p>
        </w:tc>
        <w:tc>
          <w:tcPr>
            <w:tcW w:w="2551" w:type="dxa"/>
            <w:vAlign w:val="center"/>
          </w:tcPr>
          <w:p>
            <w:pPr>
              <w:pStyle w:val="13"/>
            </w:pPr>
          </w:p>
        </w:tc>
        <w:tc>
          <w:tcPr>
            <w:tcW w:w="2551" w:type="dxa"/>
            <w:vAlign w:val="center"/>
          </w:tcPr>
          <w:p>
            <w:pPr>
              <w:pStyle w:val="13"/>
            </w:pPr>
            <w:r>
              <w:t>2.04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19.02</w:t>
            </w:r>
          </w:p>
        </w:tc>
        <w:tc>
          <w:tcPr>
            <w:tcW w:w="2551" w:type="dxa"/>
            <w:vAlign w:val="center"/>
          </w:tcPr>
          <w:p>
            <w:pPr>
              <w:pStyle w:val="13"/>
            </w:pPr>
          </w:p>
        </w:tc>
        <w:tc>
          <w:tcPr>
            <w:tcW w:w="2551"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8.64</w:t>
            </w:r>
          </w:p>
        </w:tc>
        <w:tc>
          <w:tcPr>
            <w:tcW w:w="2551" w:type="dxa"/>
            <w:vAlign w:val="center"/>
          </w:tcPr>
          <w:p>
            <w:pPr>
              <w:pStyle w:val="13"/>
            </w:pPr>
          </w:p>
        </w:tc>
        <w:tc>
          <w:tcPr>
            <w:tcW w:w="2551"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14.78</w:t>
            </w:r>
          </w:p>
        </w:tc>
        <w:tc>
          <w:tcPr>
            <w:tcW w:w="2551" w:type="dxa"/>
            <w:vAlign w:val="center"/>
          </w:tcPr>
          <w:p>
            <w:pPr>
              <w:pStyle w:val="13"/>
            </w:pPr>
          </w:p>
        </w:tc>
        <w:tc>
          <w:tcPr>
            <w:tcW w:w="2551"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4.37</w:t>
            </w:r>
          </w:p>
        </w:tc>
        <w:tc>
          <w:tcPr>
            <w:tcW w:w="2551" w:type="dxa"/>
            <w:vAlign w:val="center"/>
          </w:tcPr>
          <w:p>
            <w:pPr>
              <w:pStyle w:val="13"/>
            </w:pPr>
          </w:p>
        </w:tc>
        <w:tc>
          <w:tcPr>
            <w:tcW w:w="2551" w:type="dxa"/>
            <w:vAlign w:val="center"/>
          </w:tcPr>
          <w:p>
            <w:pPr>
              <w:pStyle w:val="13"/>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1.12</w:t>
            </w:r>
          </w:p>
        </w:tc>
        <w:tc>
          <w:tcPr>
            <w:tcW w:w="2551" w:type="dxa"/>
            <w:vAlign w:val="center"/>
          </w:tcPr>
          <w:p>
            <w:pPr>
              <w:pStyle w:val="13"/>
            </w:pPr>
          </w:p>
        </w:tc>
        <w:tc>
          <w:tcPr>
            <w:tcW w:w="2551" w:type="dxa"/>
            <w:vAlign w:val="center"/>
          </w:tcPr>
          <w:p>
            <w:pPr>
              <w:pStyle w:val="13"/>
            </w:pPr>
            <w:r>
              <w:t>1.12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18.80</w:t>
            </w:r>
          </w:p>
        </w:tc>
        <w:tc>
          <w:tcPr>
            <w:tcW w:w="2551" w:type="dxa"/>
            <w:vAlign w:val="center"/>
          </w:tcPr>
          <w:p>
            <w:pPr>
              <w:pStyle w:val="13"/>
            </w:pPr>
          </w:p>
        </w:tc>
        <w:tc>
          <w:tcPr>
            <w:tcW w:w="2551" w:type="dxa"/>
            <w:vAlign w:val="center"/>
          </w:tcPr>
          <w:p>
            <w:pPr>
              <w:pStyle w:val="13"/>
            </w:pPr>
            <w:r>
              <w:t>18.80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41.43</w:t>
            </w:r>
          </w:p>
        </w:tc>
        <w:tc>
          <w:tcPr>
            <w:tcW w:w="2551" w:type="dxa"/>
            <w:vAlign w:val="center"/>
          </w:tcPr>
          <w:p>
            <w:pPr>
              <w:pStyle w:val="13"/>
            </w:pPr>
          </w:p>
        </w:tc>
        <w:tc>
          <w:tcPr>
            <w:tcW w:w="2551" w:type="dxa"/>
            <w:vAlign w:val="center"/>
          </w:tcPr>
          <w:p>
            <w:pPr>
              <w:pStyle w:val="13"/>
            </w:pPr>
            <w:r>
              <w:t>41.43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12.03</w:t>
            </w:r>
          </w:p>
        </w:tc>
        <w:tc>
          <w:tcPr>
            <w:tcW w:w="2551" w:type="dxa"/>
            <w:vAlign w:val="center"/>
          </w:tcPr>
          <w:p>
            <w:pPr>
              <w:pStyle w:val="13"/>
            </w:pPr>
            <w:r>
              <w:t>12.03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cs="方正书宋_GBK" w:asciiTheme="minorEastAsia" w:hAnsiTheme="minorEastAsia" w:eastAsiaTheme="minorEastAsia"/>
          <w:color w:val="000000"/>
          <w:sz w:val="21"/>
          <w:lang w:eastAsia="zh-CN"/>
        </w:rPr>
        <w:t>性</w:t>
      </w:r>
      <w:r>
        <w:rPr>
          <w:rFonts w:ascii="方正书宋_GBK" w:hAnsi="方正书宋_GBK" w:eastAsia="方正书宋_GBK" w:cs="方正书宋_GBK"/>
          <w:color w:val="000000"/>
          <w:sz w:val="21"/>
        </w:rPr>
        <w:t>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431河北省省直住房资金中心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5.12</w:t>
            </w:r>
          </w:p>
        </w:tc>
        <w:tc>
          <w:tcPr>
            <w:tcW w:w="2381" w:type="dxa"/>
            <w:vAlign w:val="center"/>
          </w:tcPr>
          <w:p>
            <w:pPr>
              <w:pStyle w:val="17"/>
            </w:pPr>
            <w:r>
              <w:t>5.12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5.12</w:t>
            </w:r>
          </w:p>
        </w:tc>
        <w:tc>
          <w:tcPr>
            <w:tcW w:w="2381" w:type="dxa"/>
            <w:vAlign w:val="center"/>
          </w:tcPr>
          <w:p>
            <w:pPr>
              <w:pStyle w:val="13"/>
            </w:pPr>
            <w:r>
              <w:t>5.12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1" w:type="dxa"/>
            <w:vAlign w:val="center"/>
          </w:tcPr>
          <w:p>
            <w:pPr>
              <w:pStyle w:val="13"/>
            </w:pPr>
            <w:r>
              <w:t>1.12</w:t>
            </w:r>
          </w:p>
        </w:tc>
        <w:tc>
          <w:tcPr>
            <w:tcW w:w="2381" w:type="dxa"/>
            <w:vAlign w:val="center"/>
          </w:tcPr>
          <w:p>
            <w:pPr>
              <w:pStyle w:val="13"/>
            </w:pPr>
            <w:r>
              <w:t>1.12</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河北省省直住房资金中心2024年部门预算信息公开情况说明</w:t>
      </w:r>
    </w:p>
    <w:p>
      <w:pPr>
        <w:jc w:val="center"/>
      </w:pPr>
      <w:r>
        <w:rPr>
          <w:rFonts w:ascii="方正小标宋_GBK" w:hAnsi="方正小标宋_GBK" w:eastAsia="方正小标宋_GBK" w:cs="方正小标宋_GBK"/>
          <w:color w:val="000000"/>
          <w:sz w:val="44"/>
        </w:rPr>
        <w:t>河北省省直住房资金中心2024年部门预算信息公开情况说明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按照《中华人民共和国预算法》、《地方预决算公开操作规程》和《关于进一步推进预算公开工作的实施意见》规定，现将河北省省直住房资金中心2024年部门预算公开如下：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rPr>
          <w:rFonts w:hint="eastAsia" w:eastAsiaTheme="minorEastAsia"/>
          <w:lang w:eastAsia="zh-CN"/>
        </w:rPr>
        <w:t>（一）</w:t>
      </w:r>
      <w:r>
        <w:t>负责省直住房公积金的运营服务保障。</w:t>
      </w:r>
    </w:p>
    <w:p>
      <w:pPr>
        <w:pStyle w:val="19"/>
      </w:pPr>
      <w:r>
        <w:t>（二）负责编制、执行住房公积金的归集、使用计划。</w:t>
      </w:r>
    </w:p>
    <w:p>
      <w:pPr>
        <w:pStyle w:val="19"/>
      </w:pPr>
      <w:r>
        <w:t>（三）负责住房公积金的提取、使用、保值和归还。</w:t>
      </w:r>
    </w:p>
    <w:p>
      <w:pPr>
        <w:pStyle w:val="19"/>
      </w:pPr>
      <w:r>
        <w:t>（四）承担省直公有住房出售资金的归集、运营、使用和审核工作。</w:t>
      </w:r>
    </w:p>
    <w:p>
      <w:pPr>
        <w:pStyle w:val="19"/>
      </w:pPr>
      <w:r>
        <w:t>（五）承担其他住房资金事宜。</w:t>
      </w:r>
    </w:p>
    <w:p>
      <w:pPr>
        <w:pStyle w:val="19"/>
      </w:pPr>
      <w:r>
        <w:t>（六）完成河北省机关事务管理局交办的其他任务。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河北省省直住房资金中心本级</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按照预算管理有关规定，目前部门预算的编制实行综合预算管理，即全部收入和支出都反映在预算中。河北省省直住房资金中心机关及所属事业单位的收支包含在部门预算中。</w:t>
      </w:r>
    </w:p>
    <w:p>
      <w:pPr>
        <w:pStyle w:val="20"/>
      </w:pPr>
      <w:r>
        <w:t>1、收入说明</w:t>
      </w:r>
    </w:p>
    <w:p>
      <w:pPr>
        <w:pStyle w:val="20"/>
      </w:pPr>
      <w:r>
        <w:t>反映本部门当年全部收入。2024年预算收入2374.43万元，其中：一般公共预算收入2374.43万元，基金预算收入0万元，国有资本经营预算收入0万元，财政专户核拨收入0万元，单位资金收入0万元，上年结转结余0万元。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省直住房资金中心年度部门预算中支出预算的总体情况。2024年支出预算2374.43万元，其中基本支出1722.83万元，包括人员经费1464.03万元和日常公用经费258.8万元；项目支出651.6万元，主要为住房公积金业务管理信息系统运行维护费等。</w:t>
      </w:r>
    </w:p>
    <w:p>
      <w:pPr>
        <w:pStyle w:val="20"/>
      </w:pPr>
      <w:r>
        <w:t>3、比上年增减情况</w:t>
      </w:r>
    </w:p>
    <w:p>
      <w:pPr>
        <w:pStyle w:val="20"/>
      </w:pPr>
      <w:r>
        <w:t>2024年预算收支安排2374.43万元，较2023年预算增加212.85万元，其中：基本支出增加190.05万元，主要为人员经费增加。项目支出增加22.8万元，主要为由于新增网点增加住房公积金业务管理信息系统运行维护费。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2024年，我部门机关运行经费共计安排258.8万元，主要用于日常维修、办公用房水电费、办公用房取暖费等日常运行支出。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5.12万元，其中因公出国（境）费0万元；公务用车购置及运维费4万元（其中：公务用车购置费为0万元，公务用车运维费4万元)；公务接待费1.12万元。与2023年相比减少20.02万元，增减变化的主要原因是2023年度购置了一辆公务用车，2024年无公车购置计划。</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学习贯彻习近平新时代中国特色社会主义思想，深入贯彻落实国务院《住房公积金管理条例》及《河北省住房公积金管理办法》等规定，加强省直住房公积金管理，维护省直住房公积金所有者的合法权益。编制、执行省直住房公积金归集、使用计划，完善“互联网+住房公积金”服务范围、服务项目和水平，充分发挥住房公积金制度的保障作用，保证住房公积金归集、提取和贷款等政策落地落实。力争2024年归集住房公积金34亿元、发放住房公积金个人贷款3亿元；做好住房公积金的保值和归还工作，实现增值收益1.25亿元；积极落实省直房改政策，进一步加强省直单位公有住房出售资金收缴与管理；对省直单位住房公积金管理人员组织管理培训，为省直职工提供更加便捷、高效的服务。</w:t>
      </w:r>
    </w:p>
    <w:p>
      <w:pPr>
        <w:spacing w:line="500" w:lineRule="exact"/>
        <w:ind w:firstLine="560"/>
      </w:pPr>
      <w:r>
        <w:rPr>
          <w:rFonts w:eastAsia="方正仿宋_GBK"/>
          <w:color w:val="000000"/>
          <w:sz w:val="28"/>
        </w:rPr>
        <w:t>（二）分项绩效目标</w:t>
      </w:r>
    </w:p>
    <w:p>
      <w:pPr>
        <w:pStyle w:val="24"/>
      </w:pPr>
      <w:r>
        <w:rPr>
          <w:rFonts w:hint="eastAsia" w:asciiTheme="minorEastAsia" w:hAnsiTheme="minorEastAsia" w:eastAsiaTheme="minorEastAsia"/>
          <w:lang w:eastAsia="zh-CN"/>
        </w:rPr>
        <w:t>1.</w:t>
      </w:r>
      <w:r>
        <w:t>进一步加强住房公积金归集、提取管理。</w:t>
      </w:r>
    </w:p>
    <w:p>
      <w:pPr>
        <w:pStyle w:val="24"/>
      </w:pPr>
      <w:r>
        <w:t>绩效目标：</w:t>
      </w:r>
    </w:p>
    <w:p>
      <w:pPr>
        <w:pStyle w:val="24"/>
      </w:pPr>
      <w:r>
        <w:t>加强住房公积金归集扩面工作，力争应交尽缴，按规定为职工住房公积金进行核算、计息，严格落实国家“限高保低”的缴存政策，切实保证广大缴存职工利益。依照国家和地方相关政策规定，做好住房公积金提取工作，精简办理要件，持续推动“互联网+住房公积金”建设，提高在线办理率和全程网办率，持续提升网上办事智能化水平，做到提取资金实时到账，提升省直单位和职工满意度。</w:t>
      </w:r>
    </w:p>
    <w:p>
      <w:pPr>
        <w:pStyle w:val="24"/>
      </w:pPr>
      <w:r>
        <w:t>绩效指标：</w:t>
      </w:r>
    </w:p>
    <w:p>
      <w:pPr>
        <w:pStyle w:val="24"/>
      </w:pPr>
      <w:r>
        <w:t>2024年归集住房公积金34亿元，归集额较上年增长6%,对账信息率超过98%。</w:t>
      </w:r>
    </w:p>
    <w:p>
      <w:pPr>
        <w:pStyle w:val="24"/>
      </w:pPr>
      <w:r>
        <w:rPr>
          <w:rFonts w:hint="eastAsia" w:asciiTheme="minorEastAsia" w:hAnsiTheme="minorEastAsia" w:eastAsiaTheme="minorEastAsia"/>
          <w:lang w:eastAsia="zh-CN"/>
        </w:rPr>
        <w:t>2.</w:t>
      </w:r>
      <w:r>
        <w:t>进一步加强对职工个人住房公积金贷款的发放与管理。</w:t>
      </w:r>
    </w:p>
    <w:p>
      <w:pPr>
        <w:pStyle w:val="24"/>
      </w:pPr>
      <w:r>
        <w:t>绩效目标：</w:t>
      </w:r>
    </w:p>
    <w:p>
      <w:pPr>
        <w:pStyle w:val="24"/>
      </w:pPr>
      <w:r>
        <w:t>积极落实国家和省相关政策，做好房地产市场调研工作和住房公积金贷款政策宣传工作，使贷款职工充分了解省直住房公积金贷款政策，合理选择贷款方式、贷款额度和贷款期限，满足职工购房需求。建立和完善贷款风险准备金制度，做好逾期贷款催收管理，降低贷款逾期率，科学合理控制贷款风险。</w:t>
      </w:r>
    </w:p>
    <w:p>
      <w:pPr>
        <w:pStyle w:val="24"/>
      </w:pPr>
      <w:r>
        <w:t>绩效指标：</w:t>
      </w:r>
    </w:p>
    <w:p>
      <w:pPr>
        <w:pStyle w:val="24"/>
      </w:pPr>
      <w:r>
        <w:t>2024年力争发放住房公积金个人购房贷款3亿元，按照要求足额计提贷款风险准备金，做到贷款风险准备金率不小于贷款余额的1%，贷款逾期率控制在0.4‰以内。</w:t>
      </w:r>
    </w:p>
    <w:p>
      <w:pPr>
        <w:pStyle w:val="24"/>
      </w:pPr>
      <w:r>
        <w:rPr>
          <w:rFonts w:hint="eastAsia" w:asciiTheme="minorEastAsia" w:hAnsiTheme="minorEastAsia" w:eastAsiaTheme="minorEastAsia"/>
          <w:lang w:eastAsia="zh-CN"/>
        </w:rPr>
        <w:t>3.</w:t>
      </w:r>
      <w:r>
        <w:t>实现住房公积金增值收益稳步增长，并按时足额上缴国库。</w:t>
      </w:r>
    </w:p>
    <w:p>
      <w:pPr>
        <w:pStyle w:val="24"/>
      </w:pPr>
      <w:r>
        <w:t>绩效目标：</w:t>
      </w:r>
    </w:p>
    <w:p>
      <w:pPr>
        <w:pStyle w:val="24"/>
      </w:pPr>
      <w:r>
        <w:t>在保证资金安全的情况下，进一步优化住房公积金存款结构，根据业务发展科学合理调配资金，提高住房公积金增值收益和资金使用率，按时足额向国库上缴增值收益。</w:t>
      </w:r>
    </w:p>
    <w:p>
      <w:pPr>
        <w:pStyle w:val="24"/>
      </w:pPr>
      <w:r>
        <w:t>绩效指标：</w:t>
      </w:r>
    </w:p>
    <w:p>
      <w:pPr>
        <w:pStyle w:val="24"/>
      </w:pPr>
      <w:r>
        <w:t>2024年实现增值收益1.25亿元，增值收益率大于1%，并按时解缴。</w:t>
      </w:r>
    </w:p>
    <w:p>
      <w:pPr>
        <w:pStyle w:val="24"/>
      </w:pPr>
      <w:r>
        <w:rPr>
          <w:rFonts w:hint="eastAsia" w:asciiTheme="minorEastAsia" w:hAnsiTheme="minorEastAsia" w:eastAsiaTheme="minorEastAsia"/>
          <w:lang w:eastAsia="zh-CN"/>
        </w:rPr>
        <w:t>4.</w:t>
      </w:r>
      <w:r>
        <w:t>进一步加强省直单位公有住房出售资金收缴与管理。</w:t>
      </w:r>
    </w:p>
    <w:p>
      <w:pPr>
        <w:pStyle w:val="24"/>
      </w:pPr>
      <w:r>
        <w:t>绩效目标：</w:t>
      </w:r>
    </w:p>
    <w:p>
      <w:pPr>
        <w:pStyle w:val="24"/>
      </w:pPr>
      <w:r>
        <w:t>积极落实省直房改政策，全面足额收缴省直单位公有住房出售资金并规范管理。按照相关政策规定，认真做好公有住房出售资金使用申请的初审和报批工作，按照批复结果及时划转单位公有住房出售资金。</w:t>
      </w:r>
    </w:p>
    <w:p>
      <w:pPr>
        <w:pStyle w:val="24"/>
      </w:pPr>
      <w:r>
        <w:t>绩效指标：</w:t>
      </w:r>
    </w:p>
    <w:p>
      <w:pPr>
        <w:pStyle w:val="24"/>
      </w:pPr>
      <w:r>
        <w:t>资金收缴率达到100%，不存在违规使用公房出售收入行为。</w:t>
      </w:r>
    </w:p>
    <w:p>
      <w:pPr>
        <w:pStyle w:val="24"/>
      </w:pPr>
      <w:r>
        <w:rPr>
          <w:rFonts w:hint="eastAsia" w:asciiTheme="minorEastAsia" w:hAnsiTheme="minorEastAsia" w:eastAsiaTheme="minorEastAsia"/>
          <w:lang w:eastAsia="zh-CN"/>
        </w:rPr>
        <w:t>5.</w:t>
      </w:r>
      <w:r>
        <w:t>进一步加强省直住房公积金综合事务管理。</w:t>
      </w:r>
    </w:p>
    <w:p>
      <w:pPr>
        <w:pStyle w:val="24"/>
      </w:pPr>
      <w:r>
        <w:t>绩效目标：</w:t>
      </w:r>
    </w:p>
    <w:p>
      <w:pPr>
        <w:pStyle w:val="24"/>
      </w:pPr>
      <w:r>
        <w:t>保障住房公积金管理工作安全高效运转，做好信息化建设与网络设备维护，为职工查询和办理住房公积金业务提供安全保障，切实维护广大职工的利益。做好组织管理培训，对省直单位住房公积金管理人员进行业务指导和培训，加强政策宣传，提高住房公积金管理人员的业务水平。</w:t>
      </w:r>
    </w:p>
    <w:p>
      <w:pPr>
        <w:pStyle w:val="24"/>
      </w:pPr>
      <w:r>
        <w:t>绩效指标：</w:t>
      </w:r>
    </w:p>
    <w:p>
      <w:pPr>
        <w:pStyle w:val="24"/>
      </w:pPr>
      <w:r>
        <w:t>综合事务管理工作完成率100%。</w:t>
      </w:r>
    </w:p>
    <w:p>
      <w:pPr>
        <w:spacing w:line="500" w:lineRule="exact"/>
        <w:ind w:firstLine="560"/>
      </w:pPr>
      <w:r>
        <w:rPr>
          <w:rFonts w:eastAsia="方正仿宋_GBK"/>
          <w:color w:val="000000"/>
          <w:sz w:val="28"/>
        </w:rPr>
        <w:t>（三）工作保障措施</w:t>
      </w:r>
    </w:p>
    <w:p>
      <w:pPr>
        <w:pStyle w:val="25"/>
      </w:pPr>
      <w:r>
        <w:rPr>
          <w:rFonts w:hint="eastAsia" w:asciiTheme="minorEastAsia" w:hAnsiTheme="minorEastAsia" w:eastAsiaTheme="minorEastAsia"/>
          <w:lang w:eastAsia="zh-CN"/>
        </w:rPr>
        <w:t>1.</w:t>
      </w:r>
      <w:r>
        <w:t>始终坚持以政治建设为统领，推动党建和业务深度融合。</w:t>
      </w:r>
    </w:p>
    <w:p>
      <w:pPr>
        <w:pStyle w:val="25"/>
      </w:pPr>
      <w:r>
        <w:t>将学习宣传贯彻党的二十大精神作为首要政治任务。继续深入学习贯彻党的二十大精神，运用习近平新时代中国特色社会主义思想的世界观和方法论指导实践，并推进党建和业务深度融合，带领党员群众创建党支部品牌，把学习成果体现到干事创业的实际行动中、推动工作的具体举措中、实实在在的发展成效中，提高缴存职工满意度，实现住房公积金事业高质量发展。</w:t>
      </w:r>
    </w:p>
    <w:p>
      <w:pPr>
        <w:pStyle w:val="25"/>
      </w:pPr>
      <w:r>
        <w:rPr>
          <w:rFonts w:hint="eastAsia" w:asciiTheme="minorEastAsia" w:hAnsiTheme="minorEastAsia" w:eastAsiaTheme="minorEastAsia"/>
          <w:lang w:eastAsia="zh-CN"/>
        </w:rPr>
        <w:t>2.</w:t>
      </w:r>
      <w:r>
        <w:t>做好住房公积金归集、提取管理工作，不断优化服务水平。</w:t>
      </w:r>
    </w:p>
    <w:p>
      <w:pPr>
        <w:pStyle w:val="25"/>
      </w:pPr>
      <w:r>
        <w:t>一是继续推进“互联网+住房公积金”建设，实现多点接入，数据共享，整体互动，统一识别，统一管理，统一风控，依托共享平台，通过数据复用等技术手段进一步优化业务流程、精简办理要件，为广大缴存职工提供更便捷、更高效、更安全、更智能的住房公积金服务，让数据多跑路，群众少跑腿。二是打造住房公积金便民“生活圈”，增加营业网点，大力宣传住房公积金业务网上办理渠道，推动更多事项“掌上办”、“网上办”、“就近办”。三是进一步提高政务服务水平，积极配合省政务办“同标准、无差别”政务服务标准化建设，规范12345热线管理，积极推进“免证办”与省政务办的对接工作。四是深入开展住房公积金政策宣传活动，强化缴存单位和缴存职工的法律意识和维权意识，提高缴交住房公积金的自觉性和主动性，保障职工合法权益。</w:t>
      </w:r>
    </w:p>
    <w:p>
      <w:pPr>
        <w:pStyle w:val="25"/>
      </w:pPr>
      <w:r>
        <w:rPr>
          <w:rFonts w:hint="eastAsia" w:asciiTheme="minorEastAsia" w:hAnsiTheme="minorEastAsia" w:eastAsiaTheme="minorEastAsia"/>
          <w:lang w:eastAsia="zh-CN"/>
        </w:rPr>
        <w:t>3.</w:t>
      </w:r>
      <w:r>
        <w:t>加大省直住房公积金个人购房贷款工作力度。</w:t>
      </w:r>
    </w:p>
    <w:p>
      <w:pPr>
        <w:pStyle w:val="25"/>
      </w:pPr>
      <w:r>
        <w:t>深化“放管服”改革，压缩贷款业务办理时限，取消和简化办理要件，进一步提高服务效能和服务水平。加大贷款政策宣传力度，使贷款职工充分了解省直住房公积金贷款政策；做好房地产市场调研工作，主动到房地产开发商等处进行实地调研，主动联系符合贷款条件的开发商，进行实地考察并签订贷款合作协议；加强贷后管理，严格贷款抵押物落实、逾期贷款催收和贷款档案管理等贷后安全管理工作，有效规避信贷风险，确保贷款资金安全完整。</w:t>
      </w:r>
    </w:p>
    <w:p>
      <w:pPr>
        <w:pStyle w:val="25"/>
      </w:pPr>
      <w:r>
        <w:rPr>
          <w:rFonts w:hint="eastAsia" w:asciiTheme="minorEastAsia" w:hAnsiTheme="minorEastAsia" w:eastAsiaTheme="minorEastAsia"/>
          <w:lang w:eastAsia="zh-CN"/>
        </w:rPr>
        <w:t>4.</w:t>
      </w:r>
      <w:r>
        <w:t>继续做好出售公有住房资金管理工作，确保资金安全。</w:t>
      </w:r>
    </w:p>
    <w:p>
      <w:pPr>
        <w:pStyle w:val="25"/>
      </w:pPr>
      <w:r>
        <w:t>按相关政策规定，认真做好公有住房出售资金的收缴工作，做好资金使用申请的初审和报批工作，按照批复结果及时划转单位公有住房出售资金。</w:t>
      </w:r>
    </w:p>
    <w:p>
      <w:pPr>
        <w:pStyle w:val="25"/>
      </w:pPr>
      <w:r>
        <w:rPr>
          <w:rFonts w:hint="eastAsia" w:asciiTheme="minorEastAsia" w:hAnsiTheme="minorEastAsia" w:eastAsiaTheme="minorEastAsia"/>
          <w:lang w:eastAsia="zh-CN"/>
        </w:rPr>
        <w:t>5.</w:t>
      </w:r>
      <w:r>
        <w:t>继续对省直单位住房公积金管理人员进行业务指导，提高服务质量。</w:t>
      </w:r>
    </w:p>
    <w:p>
      <w:pPr>
        <w:pStyle w:val="25"/>
      </w:pPr>
      <w:r>
        <w:t>定期举办住房公积金业务培训班，及时在住房公积金业务交流微信群答疑解惑，切实提高各单位住房公积金管理人员的业务水平。</w:t>
      </w:r>
    </w:p>
    <w:p>
      <w:pPr>
        <w:pStyle w:val="25"/>
      </w:pPr>
      <w:r>
        <w:rPr>
          <w:rFonts w:hint="eastAsia" w:asciiTheme="minorEastAsia" w:hAnsiTheme="minorEastAsia" w:eastAsiaTheme="minorEastAsia"/>
          <w:lang w:eastAsia="zh-CN"/>
        </w:rPr>
        <w:t>6.</w:t>
      </w:r>
      <w:r>
        <w:t>持续强化住房公积金内控管理，有效化解风险。</w:t>
      </w:r>
    </w:p>
    <w:p>
      <w:pPr>
        <w:pStyle w:val="25"/>
      </w:pPr>
      <w:r>
        <w:t>一是积极对接住建部公积金风险隐患检测整改系统，借助电子稽查工具，动态监控资金流动情况,同时通过住房公积金风险隐患检测整改系统进行智能审核，实现资金风险有效化解和全方位、全过程监控。二是严格执行贷款三级联审联签制度，有效化解住房公积金贷款风险，保障住房公积金资金使用安全。</w:t>
      </w:r>
    </w:p>
    <w:p>
      <w:pPr>
        <w:pStyle w:val="25"/>
      </w:pPr>
      <w:r>
        <w:rPr>
          <w:rFonts w:hint="eastAsia" w:asciiTheme="minorEastAsia" w:hAnsiTheme="minorEastAsia" w:eastAsiaTheme="minorEastAsia"/>
          <w:lang w:eastAsia="zh-CN"/>
        </w:rPr>
        <w:t>7.</w:t>
      </w:r>
      <w:r>
        <w:t>做好财会监督相关工作，提高中心财务管理水平。</w:t>
      </w:r>
    </w:p>
    <w:p>
      <w:pPr>
        <w:pStyle w:val="25"/>
        <w:sectPr>
          <w:pgSz w:w="16840" w:h="11900" w:orient="landscape"/>
          <w:pgMar w:top="1361" w:right="1020" w:bottom="1361" w:left="1020" w:header="720" w:footer="720" w:gutter="0"/>
          <w:cols w:space="720" w:num="1"/>
        </w:sectPr>
      </w:pPr>
      <w:r>
        <w:rPr>
          <w:rFonts w:hint="eastAsia"/>
          <w:lang w:val="en-US" w:eastAsia="zh-CN"/>
        </w:rPr>
        <w:t>修订</w:t>
      </w:r>
      <w:r>
        <w:t>完善各项管理办法，优化支出结构，编细编实预算，尽快履行政府采购手续和启动项目，根据项目进展及时支付资金，确保支出进度达标。按要求开展绩效运行监控，提出优化财政资金配置、提高资金使用效益的建议，强化预算绩效管理意识，促进预算绩效管理水平进一步提升。对收入支出、采购管理、资产管理、绩效运行等业务加强管理和制度建设，并配合做好审计和监督工作。</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1、办公用房物业管理服务费绩效目标表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13000024P00B25410004Q</w:t>
            </w:r>
          </w:p>
        </w:tc>
        <w:tc>
          <w:tcPr>
            <w:tcW w:w="1587" w:type="dxa"/>
            <w:vAlign w:val="center"/>
          </w:tcPr>
          <w:p>
            <w:pPr>
              <w:pStyle w:val="12"/>
            </w:pPr>
            <w:r>
              <w:t>项目名称</w:t>
            </w:r>
          </w:p>
        </w:tc>
        <w:tc>
          <w:tcPr>
            <w:tcW w:w="4422" w:type="dxa"/>
            <w:gridSpan w:val="3"/>
            <w:vAlign w:val="center"/>
          </w:tcPr>
          <w:p>
            <w:pPr>
              <w:pStyle w:val="14"/>
            </w:pPr>
            <w:r>
              <w:t>办公用房物业管理服务费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75.00</w:t>
            </w:r>
          </w:p>
        </w:tc>
        <w:tc>
          <w:tcPr>
            <w:tcW w:w="1587" w:type="dxa"/>
            <w:vAlign w:val="center"/>
          </w:tcPr>
          <w:p>
            <w:pPr>
              <w:pStyle w:val="12"/>
            </w:pPr>
            <w:r>
              <w:t>其中：财政    资金</w:t>
            </w:r>
          </w:p>
        </w:tc>
        <w:tc>
          <w:tcPr>
            <w:tcW w:w="1304" w:type="dxa"/>
            <w:vAlign w:val="center"/>
          </w:tcPr>
          <w:p>
            <w:pPr>
              <w:pStyle w:val="14"/>
            </w:pPr>
            <w:r>
              <w:t>75.00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1.完成物业服务，为公积金业务办理提供便利、快捷环境。</w:t>
            </w:r>
            <w:r>
              <w:tab/>
            </w:r>
            <w:r>
              <w:tab/>
            </w:r>
            <w:r>
              <w:tab/>
            </w:r>
            <w:r>
              <w:tab/>
            </w:r>
            <w:r>
              <w:tab/>
            </w:r>
            <w:r>
              <w:tab/>
            </w:r>
          </w:p>
          <w:p>
            <w:pPr>
              <w:pStyle w:val="14"/>
            </w:pPr>
            <w:r>
              <w:t>2.完成物业服务，为缴存职工创造优质服务环境，提高职工满意度。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物业服务面积</w:t>
            </w:r>
          </w:p>
        </w:tc>
        <w:tc>
          <w:tcPr>
            <w:tcW w:w="2891" w:type="dxa"/>
            <w:vAlign w:val="center"/>
          </w:tcPr>
          <w:p>
            <w:pPr>
              <w:pStyle w:val="14"/>
            </w:pPr>
            <w:r>
              <w:t>物业服务办公区域保洁服务面积</w:t>
            </w:r>
          </w:p>
        </w:tc>
        <w:tc>
          <w:tcPr>
            <w:tcW w:w="1276" w:type="dxa"/>
            <w:vAlign w:val="center"/>
          </w:tcPr>
          <w:p>
            <w:pPr>
              <w:pStyle w:val="14"/>
            </w:pPr>
            <w:r>
              <w:t>≥1200平方米</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物业服务合格率</w:t>
            </w:r>
          </w:p>
        </w:tc>
        <w:tc>
          <w:tcPr>
            <w:tcW w:w="2891" w:type="dxa"/>
            <w:vAlign w:val="center"/>
          </w:tcPr>
          <w:p>
            <w:pPr>
              <w:pStyle w:val="14"/>
            </w:pPr>
            <w:r>
              <w:t>物业服务合格率</w:t>
            </w:r>
          </w:p>
        </w:tc>
        <w:tc>
          <w:tcPr>
            <w:tcW w:w="1276" w:type="dxa"/>
            <w:vAlign w:val="center"/>
          </w:tcPr>
          <w:p>
            <w:pPr>
              <w:pStyle w:val="14"/>
            </w:pPr>
            <w:r>
              <w:t>≥90%</w:t>
            </w:r>
          </w:p>
        </w:tc>
        <w:tc>
          <w:tcPr>
            <w:tcW w:w="1843" w:type="dxa"/>
            <w:vAlign w:val="center"/>
          </w:tcPr>
          <w:p>
            <w:pPr>
              <w:pStyle w:val="14"/>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保障时间</w:t>
            </w:r>
          </w:p>
        </w:tc>
        <w:tc>
          <w:tcPr>
            <w:tcW w:w="2891" w:type="dxa"/>
            <w:vAlign w:val="center"/>
          </w:tcPr>
          <w:p>
            <w:pPr>
              <w:pStyle w:val="14"/>
            </w:pPr>
            <w:r>
              <w:t>保障时间</w:t>
            </w:r>
          </w:p>
        </w:tc>
        <w:tc>
          <w:tcPr>
            <w:tcW w:w="1276" w:type="dxa"/>
            <w:vAlign w:val="center"/>
          </w:tcPr>
          <w:p>
            <w:pPr>
              <w:pStyle w:val="14"/>
            </w:pPr>
            <w:r>
              <w:t>24小时</w:t>
            </w:r>
          </w:p>
        </w:tc>
        <w:tc>
          <w:tcPr>
            <w:tcW w:w="1843" w:type="dxa"/>
            <w:vAlign w:val="center"/>
          </w:tcPr>
          <w:p>
            <w:pPr>
              <w:pStyle w:val="14"/>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物业总成本</w:t>
            </w:r>
          </w:p>
        </w:tc>
        <w:tc>
          <w:tcPr>
            <w:tcW w:w="2891" w:type="dxa"/>
            <w:vAlign w:val="center"/>
          </w:tcPr>
          <w:p>
            <w:pPr>
              <w:pStyle w:val="14"/>
            </w:pPr>
            <w:r>
              <w:t>物业管理总成本</w:t>
            </w:r>
          </w:p>
        </w:tc>
        <w:tc>
          <w:tcPr>
            <w:tcW w:w="1276" w:type="dxa"/>
            <w:vAlign w:val="center"/>
          </w:tcPr>
          <w:p>
            <w:pPr>
              <w:pStyle w:val="14"/>
            </w:pPr>
            <w:r>
              <w:t>≤75万元</w:t>
            </w:r>
          </w:p>
        </w:tc>
        <w:tc>
          <w:tcPr>
            <w:tcW w:w="1843" w:type="dxa"/>
            <w:vAlign w:val="center"/>
          </w:tcPr>
          <w:p>
            <w:pPr>
              <w:pStyle w:val="14"/>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办公用房运行质量</w:t>
            </w:r>
          </w:p>
        </w:tc>
        <w:tc>
          <w:tcPr>
            <w:tcW w:w="2891" w:type="dxa"/>
            <w:vAlign w:val="center"/>
          </w:tcPr>
          <w:p>
            <w:pPr>
              <w:pStyle w:val="14"/>
            </w:pPr>
            <w:r>
              <w:t>保障办公用房运行质量</w:t>
            </w:r>
          </w:p>
        </w:tc>
        <w:tc>
          <w:tcPr>
            <w:tcW w:w="1276" w:type="dxa"/>
            <w:vAlign w:val="center"/>
          </w:tcPr>
          <w:p>
            <w:pPr>
              <w:pStyle w:val="14"/>
            </w:pPr>
            <w:r>
              <w:t>有效保障</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保障日常办公</w:t>
            </w:r>
          </w:p>
        </w:tc>
        <w:tc>
          <w:tcPr>
            <w:tcW w:w="2891" w:type="dxa"/>
            <w:vAlign w:val="center"/>
          </w:tcPr>
          <w:p>
            <w:pPr>
              <w:pStyle w:val="14"/>
            </w:pPr>
            <w:r>
              <w:t>物业费保障日常办公及业务开展情况</w:t>
            </w:r>
          </w:p>
        </w:tc>
        <w:tc>
          <w:tcPr>
            <w:tcW w:w="1276" w:type="dxa"/>
            <w:vAlign w:val="center"/>
          </w:tcPr>
          <w:p>
            <w:pPr>
              <w:pStyle w:val="14"/>
            </w:pPr>
            <w:r>
              <w:t>有效保障</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内部职工满意度</w:t>
            </w:r>
          </w:p>
        </w:tc>
        <w:tc>
          <w:tcPr>
            <w:tcW w:w="2891" w:type="dxa"/>
            <w:vAlign w:val="center"/>
          </w:tcPr>
          <w:p>
            <w:pPr>
              <w:pStyle w:val="14"/>
            </w:pPr>
            <w:r>
              <w:t>单位内部职工对物业服务的满意程度</w:t>
            </w:r>
          </w:p>
        </w:tc>
        <w:tc>
          <w:tcPr>
            <w:tcW w:w="1276" w:type="dxa"/>
            <w:vAlign w:val="center"/>
          </w:tcPr>
          <w:p>
            <w:pPr>
              <w:pStyle w:val="14"/>
            </w:pPr>
            <w:r>
              <w:t>≥90%</w:t>
            </w:r>
          </w:p>
        </w:tc>
        <w:tc>
          <w:tcPr>
            <w:tcW w:w="1843"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2、住房公积金业务管理信息系统运行维护费绩效目标表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13000024P00769410004A</w:t>
            </w:r>
          </w:p>
        </w:tc>
        <w:tc>
          <w:tcPr>
            <w:tcW w:w="1587" w:type="dxa"/>
            <w:vAlign w:val="center"/>
          </w:tcPr>
          <w:p>
            <w:pPr>
              <w:pStyle w:val="12"/>
            </w:pPr>
            <w:r>
              <w:t>项目名称</w:t>
            </w:r>
          </w:p>
        </w:tc>
        <w:tc>
          <w:tcPr>
            <w:tcW w:w="4422" w:type="dxa"/>
            <w:gridSpan w:val="3"/>
            <w:vAlign w:val="center"/>
          </w:tcPr>
          <w:p>
            <w:pPr>
              <w:pStyle w:val="14"/>
            </w:pPr>
            <w:r>
              <w:t>住房公积金业务管理信息系统运行维护费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570.20</w:t>
            </w:r>
          </w:p>
        </w:tc>
        <w:tc>
          <w:tcPr>
            <w:tcW w:w="1587" w:type="dxa"/>
            <w:vAlign w:val="center"/>
          </w:tcPr>
          <w:p>
            <w:pPr>
              <w:pStyle w:val="12"/>
            </w:pPr>
            <w:r>
              <w:t>其中：财政    资金</w:t>
            </w:r>
          </w:p>
        </w:tc>
        <w:tc>
          <w:tcPr>
            <w:tcW w:w="1304" w:type="dxa"/>
            <w:vAlign w:val="center"/>
          </w:tcPr>
          <w:p>
            <w:pPr>
              <w:pStyle w:val="14"/>
            </w:pPr>
            <w:r>
              <w:t>570.20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住房公积金业务系统的运行维护和升级改造。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1.通过对住房公积金业务管理信息系统的运行维护和升级改造，保障公积金主业务系统、网上业务系统和综合服务平台系统安全、稳定、高效运行。</w:t>
            </w:r>
            <w:r>
              <w:tab/>
            </w:r>
            <w:r>
              <w:tab/>
            </w:r>
            <w:r>
              <w:tab/>
            </w:r>
            <w:r>
              <w:tab/>
            </w:r>
            <w:r>
              <w:tab/>
            </w:r>
            <w:r>
              <w:tab/>
            </w:r>
          </w:p>
          <w:p>
            <w:pPr>
              <w:pStyle w:val="14"/>
            </w:pPr>
            <w:r>
              <w:t>2.通过对住房公积金业务管理信息系统的运行维护和升级改造，在公积金归集、提取、贷款等方面更好地服务职工，提高缴存职工满意度。</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日常运行维护成本</w:t>
            </w:r>
          </w:p>
        </w:tc>
        <w:tc>
          <w:tcPr>
            <w:tcW w:w="2891" w:type="dxa"/>
            <w:vAlign w:val="center"/>
          </w:tcPr>
          <w:p>
            <w:pPr>
              <w:pStyle w:val="14"/>
            </w:pPr>
            <w:r>
              <w:t>日常运行维护成本</w:t>
            </w:r>
          </w:p>
        </w:tc>
        <w:tc>
          <w:tcPr>
            <w:tcW w:w="1276" w:type="dxa"/>
            <w:vAlign w:val="center"/>
          </w:tcPr>
          <w:p>
            <w:pPr>
              <w:pStyle w:val="14"/>
            </w:pPr>
            <w:r>
              <w:t>≤492.4万元</w:t>
            </w:r>
          </w:p>
        </w:tc>
        <w:tc>
          <w:tcPr>
            <w:tcW w:w="1843" w:type="dxa"/>
            <w:vAlign w:val="center"/>
          </w:tcPr>
          <w:p>
            <w:pPr>
              <w:pStyle w:val="14"/>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日常运行维护服务项目数量</w:t>
            </w:r>
          </w:p>
        </w:tc>
        <w:tc>
          <w:tcPr>
            <w:tcW w:w="2891" w:type="dxa"/>
            <w:vAlign w:val="center"/>
          </w:tcPr>
          <w:p>
            <w:pPr>
              <w:pStyle w:val="14"/>
            </w:pPr>
            <w:r>
              <w:t>日常运行维护服务项目数量</w:t>
            </w:r>
          </w:p>
        </w:tc>
        <w:tc>
          <w:tcPr>
            <w:tcW w:w="1276" w:type="dxa"/>
            <w:vAlign w:val="center"/>
          </w:tcPr>
          <w:p>
            <w:pPr>
              <w:pStyle w:val="14"/>
            </w:pPr>
            <w:r>
              <w:t>≥7项</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机房运维面积</w:t>
            </w:r>
          </w:p>
        </w:tc>
        <w:tc>
          <w:tcPr>
            <w:tcW w:w="2891" w:type="dxa"/>
            <w:vAlign w:val="center"/>
          </w:tcPr>
          <w:p>
            <w:pPr>
              <w:pStyle w:val="14"/>
            </w:pPr>
            <w:r>
              <w:t>机房的运维面积</w:t>
            </w:r>
          </w:p>
        </w:tc>
        <w:tc>
          <w:tcPr>
            <w:tcW w:w="1276" w:type="dxa"/>
            <w:vAlign w:val="center"/>
          </w:tcPr>
          <w:p>
            <w:pPr>
              <w:pStyle w:val="14"/>
            </w:pPr>
            <w:r>
              <w:t>≥90平方米</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购入安全设备数量</w:t>
            </w:r>
          </w:p>
        </w:tc>
        <w:tc>
          <w:tcPr>
            <w:tcW w:w="2891" w:type="dxa"/>
            <w:vAlign w:val="center"/>
          </w:tcPr>
          <w:p>
            <w:pPr>
              <w:pStyle w:val="14"/>
            </w:pPr>
            <w:r>
              <w:t>购入安全设备的数量</w:t>
            </w:r>
          </w:p>
        </w:tc>
        <w:tc>
          <w:tcPr>
            <w:tcW w:w="1276" w:type="dxa"/>
            <w:vAlign w:val="center"/>
          </w:tcPr>
          <w:p>
            <w:pPr>
              <w:pStyle w:val="14"/>
            </w:pPr>
            <w:r>
              <w:t>≥7台</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日常运行维护服务项目完成时间要求</w:t>
            </w:r>
          </w:p>
        </w:tc>
        <w:tc>
          <w:tcPr>
            <w:tcW w:w="1276" w:type="dxa"/>
            <w:vAlign w:val="center"/>
          </w:tcPr>
          <w:p>
            <w:pPr>
              <w:pStyle w:val="14"/>
            </w:pPr>
            <w:r>
              <w:t>12月底前</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购买安全设备完成时间要求</w:t>
            </w:r>
          </w:p>
        </w:tc>
        <w:tc>
          <w:tcPr>
            <w:tcW w:w="1276" w:type="dxa"/>
            <w:vAlign w:val="center"/>
          </w:tcPr>
          <w:p>
            <w:pPr>
              <w:pStyle w:val="14"/>
            </w:pPr>
            <w:r>
              <w:t>12月底前</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安全设备购置成本</w:t>
            </w:r>
          </w:p>
        </w:tc>
        <w:tc>
          <w:tcPr>
            <w:tcW w:w="2891" w:type="dxa"/>
            <w:vAlign w:val="center"/>
          </w:tcPr>
          <w:p>
            <w:pPr>
              <w:pStyle w:val="14"/>
            </w:pPr>
            <w:r>
              <w:t>购入安全设备的成本</w:t>
            </w:r>
          </w:p>
        </w:tc>
        <w:tc>
          <w:tcPr>
            <w:tcW w:w="1276" w:type="dxa"/>
            <w:vAlign w:val="center"/>
          </w:tcPr>
          <w:p>
            <w:pPr>
              <w:pStyle w:val="14"/>
            </w:pPr>
            <w:r>
              <w:t>≤77.8万元</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硬件维护覆盖率</w:t>
            </w:r>
          </w:p>
        </w:tc>
        <w:tc>
          <w:tcPr>
            <w:tcW w:w="2891" w:type="dxa"/>
            <w:vAlign w:val="center"/>
          </w:tcPr>
          <w:p>
            <w:pPr>
              <w:pStyle w:val="14"/>
            </w:pPr>
            <w:r>
              <w:t>对硬件维护范围占应维护范围的比率</w:t>
            </w:r>
          </w:p>
        </w:tc>
        <w:tc>
          <w:tcPr>
            <w:tcW w:w="1276" w:type="dxa"/>
            <w:vAlign w:val="center"/>
          </w:tcPr>
          <w:p>
            <w:pPr>
              <w:pStyle w:val="14"/>
            </w:pPr>
            <w:r>
              <w:t>≥90%</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硬件设备验收合格率</w:t>
            </w:r>
          </w:p>
        </w:tc>
        <w:tc>
          <w:tcPr>
            <w:tcW w:w="2891" w:type="dxa"/>
            <w:vAlign w:val="center"/>
          </w:tcPr>
          <w:p>
            <w:pPr>
              <w:pStyle w:val="14"/>
            </w:pPr>
            <w:r>
              <w:t>购入的硬件设备达到验收合格要求</w:t>
            </w:r>
          </w:p>
        </w:tc>
        <w:tc>
          <w:tcPr>
            <w:tcW w:w="1276" w:type="dxa"/>
            <w:vAlign w:val="center"/>
          </w:tcPr>
          <w:p>
            <w:pPr>
              <w:pStyle w:val="14"/>
            </w:pPr>
            <w:r>
              <w:t>≥98%</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系统高效稳定运行</w:t>
            </w:r>
          </w:p>
        </w:tc>
        <w:tc>
          <w:tcPr>
            <w:tcW w:w="2891" w:type="dxa"/>
            <w:vAlign w:val="center"/>
          </w:tcPr>
          <w:p>
            <w:pPr>
              <w:pStyle w:val="14"/>
            </w:pPr>
            <w:r>
              <w:t>系统高效稳定程度</w:t>
            </w:r>
          </w:p>
        </w:tc>
        <w:tc>
          <w:tcPr>
            <w:tcW w:w="1276" w:type="dxa"/>
            <w:vAlign w:val="center"/>
          </w:tcPr>
          <w:p>
            <w:pPr>
              <w:pStyle w:val="14"/>
            </w:pPr>
            <w:r>
              <w:t>基本稳定</w:t>
            </w:r>
          </w:p>
        </w:tc>
        <w:tc>
          <w:tcPr>
            <w:tcW w:w="1843" w:type="dxa"/>
            <w:vAlign w:val="center"/>
          </w:tcPr>
          <w:p>
            <w:pPr>
              <w:pStyle w:val="14"/>
            </w:pPr>
            <w:r>
              <w:t>住房公积金业务管理信息系统运行维护费项目工作计划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设备可持续运行期限</w:t>
            </w:r>
          </w:p>
        </w:tc>
        <w:tc>
          <w:tcPr>
            <w:tcW w:w="2891" w:type="dxa"/>
            <w:vAlign w:val="center"/>
          </w:tcPr>
          <w:p>
            <w:pPr>
              <w:pStyle w:val="14"/>
            </w:pPr>
            <w:r>
              <w:t>所购设备使用年限</w:t>
            </w:r>
          </w:p>
        </w:tc>
        <w:tc>
          <w:tcPr>
            <w:tcW w:w="1276" w:type="dxa"/>
            <w:vAlign w:val="center"/>
          </w:tcPr>
          <w:p>
            <w:pPr>
              <w:pStyle w:val="14"/>
            </w:pPr>
            <w:r>
              <w:t>≥6年</w:t>
            </w:r>
          </w:p>
        </w:tc>
        <w:tc>
          <w:tcPr>
            <w:tcW w:w="1843" w:type="dxa"/>
            <w:vAlign w:val="center"/>
          </w:tcPr>
          <w:p>
            <w:pPr>
              <w:pStyle w:val="14"/>
            </w:pPr>
            <w:r>
              <w:t>《政府会计准则第3号-固定资产》应用指南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缴存职工满意度</w:t>
            </w:r>
          </w:p>
        </w:tc>
        <w:tc>
          <w:tcPr>
            <w:tcW w:w="2891" w:type="dxa"/>
            <w:vAlign w:val="center"/>
          </w:tcPr>
          <w:p>
            <w:pPr>
              <w:pStyle w:val="14"/>
            </w:pPr>
            <w:r>
              <w:t>调查中满意和较满意的职工占调查总人数的比重</w:t>
            </w:r>
          </w:p>
        </w:tc>
        <w:tc>
          <w:tcPr>
            <w:tcW w:w="1276" w:type="dxa"/>
            <w:vAlign w:val="center"/>
          </w:tcPr>
          <w:p>
            <w:pPr>
              <w:pStyle w:val="14"/>
            </w:pPr>
            <w:r>
              <w:t>≥90%</w:t>
            </w:r>
          </w:p>
        </w:tc>
        <w:tc>
          <w:tcPr>
            <w:tcW w:w="1843" w:type="dxa"/>
            <w:vAlign w:val="center"/>
          </w:tcPr>
          <w:p>
            <w:pPr>
              <w:pStyle w:val="14"/>
            </w:pPr>
            <w:r>
              <w:t>服务评价统计结果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3、住房公积金综合事务管理绩效目标表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13000024P00849410004D</w:t>
            </w:r>
          </w:p>
        </w:tc>
        <w:tc>
          <w:tcPr>
            <w:tcW w:w="1587" w:type="dxa"/>
            <w:vAlign w:val="center"/>
          </w:tcPr>
          <w:p>
            <w:pPr>
              <w:pStyle w:val="12"/>
            </w:pPr>
            <w:r>
              <w:t>项目名称</w:t>
            </w:r>
          </w:p>
        </w:tc>
        <w:tc>
          <w:tcPr>
            <w:tcW w:w="4422" w:type="dxa"/>
            <w:gridSpan w:val="3"/>
            <w:vAlign w:val="center"/>
          </w:tcPr>
          <w:p>
            <w:pPr>
              <w:pStyle w:val="14"/>
            </w:pPr>
            <w:r>
              <w:t>住房公积金综合事务管理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6.40</w:t>
            </w:r>
          </w:p>
        </w:tc>
        <w:tc>
          <w:tcPr>
            <w:tcW w:w="1587" w:type="dxa"/>
            <w:vAlign w:val="center"/>
          </w:tcPr>
          <w:p>
            <w:pPr>
              <w:pStyle w:val="12"/>
            </w:pPr>
            <w:r>
              <w:t>其中：财政    资金</w:t>
            </w:r>
          </w:p>
        </w:tc>
        <w:tc>
          <w:tcPr>
            <w:tcW w:w="1304" w:type="dxa"/>
            <w:vAlign w:val="center"/>
          </w:tcPr>
          <w:p>
            <w:pPr>
              <w:pStyle w:val="14"/>
            </w:pPr>
            <w:r>
              <w:t>6.40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档案妥善管理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50%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通过委托专业档案存储机构对中心纸质档案进行更科学、更高水平的规范管理，延长纸质档案使用寿命，降低纸质档案管理风险。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托管档案完整性</w:t>
            </w:r>
          </w:p>
        </w:tc>
        <w:tc>
          <w:tcPr>
            <w:tcW w:w="2891" w:type="dxa"/>
            <w:vAlign w:val="center"/>
          </w:tcPr>
          <w:p>
            <w:pPr>
              <w:pStyle w:val="14"/>
            </w:pPr>
            <w:r>
              <w:t>托管档案一年内未遗失、损坏</w:t>
            </w:r>
          </w:p>
        </w:tc>
        <w:tc>
          <w:tcPr>
            <w:tcW w:w="1276" w:type="dxa"/>
            <w:vAlign w:val="center"/>
          </w:tcPr>
          <w:p>
            <w:pPr>
              <w:pStyle w:val="14"/>
            </w:pPr>
            <w:r>
              <w:t>档案完整</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档案托管成本</w:t>
            </w:r>
          </w:p>
        </w:tc>
        <w:tc>
          <w:tcPr>
            <w:tcW w:w="2891" w:type="dxa"/>
            <w:vAlign w:val="center"/>
          </w:tcPr>
          <w:p>
            <w:pPr>
              <w:pStyle w:val="14"/>
            </w:pPr>
            <w:r>
              <w:t>档案托管单价</w:t>
            </w:r>
          </w:p>
        </w:tc>
        <w:tc>
          <w:tcPr>
            <w:tcW w:w="1276" w:type="dxa"/>
            <w:vAlign w:val="center"/>
          </w:tcPr>
          <w:p>
            <w:pPr>
              <w:pStyle w:val="14"/>
            </w:pPr>
            <w:r>
              <w:t>≤30元/箱</w:t>
            </w:r>
          </w:p>
        </w:tc>
        <w:tc>
          <w:tcPr>
            <w:tcW w:w="1843" w:type="dxa"/>
            <w:vAlign w:val="center"/>
          </w:tcPr>
          <w:p>
            <w:pPr>
              <w:pStyle w:val="14"/>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任务完成的及时性</w:t>
            </w:r>
          </w:p>
        </w:tc>
        <w:tc>
          <w:tcPr>
            <w:tcW w:w="2891" w:type="dxa"/>
            <w:vAlign w:val="center"/>
          </w:tcPr>
          <w:p>
            <w:pPr>
              <w:pStyle w:val="14"/>
            </w:pPr>
            <w:r>
              <w:t>任务完成的及时性</w:t>
            </w:r>
          </w:p>
        </w:tc>
        <w:tc>
          <w:tcPr>
            <w:tcW w:w="1276" w:type="dxa"/>
            <w:vAlign w:val="center"/>
          </w:tcPr>
          <w:p>
            <w:pPr>
              <w:pStyle w:val="14"/>
            </w:pPr>
            <w:r>
              <w:t>调取档案24小时送达</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档案整理数量</w:t>
            </w:r>
          </w:p>
        </w:tc>
        <w:tc>
          <w:tcPr>
            <w:tcW w:w="2891" w:type="dxa"/>
            <w:vAlign w:val="center"/>
          </w:tcPr>
          <w:p>
            <w:pPr>
              <w:pStyle w:val="14"/>
            </w:pPr>
            <w:r>
              <w:t>档案托管数量</w:t>
            </w:r>
          </w:p>
        </w:tc>
        <w:tc>
          <w:tcPr>
            <w:tcW w:w="1276" w:type="dxa"/>
            <w:vAlign w:val="center"/>
          </w:tcPr>
          <w:p>
            <w:pPr>
              <w:pStyle w:val="14"/>
            </w:pPr>
            <w:r>
              <w:t>≥1900箱</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受益职工人数</w:t>
            </w:r>
          </w:p>
        </w:tc>
        <w:tc>
          <w:tcPr>
            <w:tcW w:w="2891" w:type="dxa"/>
            <w:vAlign w:val="center"/>
          </w:tcPr>
          <w:p>
            <w:pPr>
              <w:pStyle w:val="14"/>
            </w:pPr>
            <w:r>
              <w:t>受益职工人数</w:t>
            </w:r>
          </w:p>
        </w:tc>
        <w:tc>
          <w:tcPr>
            <w:tcW w:w="1276" w:type="dxa"/>
            <w:vAlign w:val="center"/>
          </w:tcPr>
          <w:p>
            <w:pPr>
              <w:pStyle w:val="14"/>
            </w:pPr>
            <w:r>
              <w:t>≥19万人</w:t>
            </w:r>
          </w:p>
        </w:tc>
        <w:tc>
          <w:tcPr>
            <w:tcW w:w="1843" w:type="dxa"/>
            <w:vAlign w:val="center"/>
          </w:tcPr>
          <w:p>
            <w:pPr>
              <w:pStyle w:val="14"/>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内部员工满意度</w:t>
            </w:r>
          </w:p>
        </w:tc>
        <w:tc>
          <w:tcPr>
            <w:tcW w:w="2891" w:type="dxa"/>
            <w:vAlign w:val="center"/>
          </w:tcPr>
          <w:p>
            <w:pPr>
              <w:pStyle w:val="14"/>
            </w:pPr>
            <w:r>
              <w:t>单位内部职工对档案电子化的满意程度</w:t>
            </w:r>
          </w:p>
        </w:tc>
        <w:tc>
          <w:tcPr>
            <w:tcW w:w="1276" w:type="dxa"/>
            <w:vAlign w:val="center"/>
          </w:tcPr>
          <w:p>
            <w:pPr>
              <w:pStyle w:val="14"/>
            </w:pPr>
            <w:r>
              <w:t>≥90%</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431河北省省直住房资金中心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724.25</w:t>
            </w:r>
          </w:p>
        </w:tc>
        <w:tc>
          <w:tcPr>
            <w:tcW w:w="964" w:type="dxa"/>
            <w:vAlign w:val="center"/>
          </w:tcPr>
          <w:p>
            <w:pPr>
              <w:pStyle w:val="17"/>
            </w:pPr>
            <w:r>
              <w:t>724.25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河北省省直住房资金中心本级小计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724.25</w:t>
            </w:r>
          </w:p>
        </w:tc>
        <w:tc>
          <w:tcPr>
            <w:tcW w:w="964" w:type="dxa"/>
            <w:vAlign w:val="center"/>
          </w:tcPr>
          <w:p>
            <w:pPr>
              <w:pStyle w:val="17"/>
            </w:pPr>
            <w:r>
              <w:t>724.25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平板式计算机</w:t>
            </w:r>
          </w:p>
        </w:tc>
        <w:tc>
          <w:tcPr>
            <w:tcW w:w="1134" w:type="dxa"/>
            <w:vAlign w:val="center"/>
          </w:tcPr>
          <w:p>
            <w:pPr>
              <w:pStyle w:val="14"/>
            </w:pPr>
            <w:r>
              <w:t>A02010109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其他输入输出设备</w:t>
            </w:r>
          </w:p>
        </w:tc>
        <w:tc>
          <w:tcPr>
            <w:tcW w:w="1134" w:type="dxa"/>
            <w:vAlign w:val="center"/>
          </w:tcPr>
          <w:p>
            <w:pPr>
              <w:pStyle w:val="14"/>
            </w:pPr>
            <w:r>
              <w:t>A02021199</w:t>
            </w:r>
          </w:p>
        </w:tc>
        <w:tc>
          <w:tcPr>
            <w:tcW w:w="709" w:type="dxa"/>
            <w:vAlign w:val="center"/>
          </w:tcPr>
          <w:p>
            <w:pPr>
              <w:pStyle w:val="15"/>
            </w:pPr>
            <w:r>
              <w:t>台</w:t>
            </w:r>
          </w:p>
        </w:tc>
        <w:tc>
          <w:tcPr>
            <w:tcW w:w="850" w:type="dxa"/>
            <w:vAlign w:val="center"/>
          </w:tcPr>
          <w:p>
            <w:pPr>
              <w:pStyle w:val="13"/>
            </w:pPr>
            <w:r>
              <w:t>11</w:t>
            </w:r>
          </w:p>
        </w:tc>
        <w:tc>
          <w:tcPr>
            <w:tcW w:w="850" w:type="dxa"/>
            <w:vAlign w:val="center"/>
          </w:tcPr>
          <w:p>
            <w:pPr>
              <w:pStyle w:val="13"/>
            </w:pPr>
            <w:r>
              <w:t>0.20</w:t>
            </w:r>
          </w:p>
        </w:tc>
        <w:tc>
          <w:tcPr>
            <w:tcW w:w="964"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其他视频会议系统设备</w:t>
            </w:r>
          </w:p>
        </w:tc>
        <w:tc>
          <w:tcPr>
            <w:tcW w:w="1134" w:type="dxa"/>
            <w:vAlign w:val="center"/>
          </w:tcPr>
          <w:p>
            <w:pPr>
              <w:pStyle w:val="14"/>
            </w:pPr>
            <w:r>
              <w:t>A02080899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18</w:t>
            </w:r>
          </w:p>
        </w:tc>
        <w:tc>
          <w:tcPr>
            <w:tcW w:w="850" w:type="dxa"/>
            <w:vAlign w:val="center"/>
          </w:tcPr>
          <w:p>
            <w:pPr>
              <w:pStyle w:val="13"/>
            </w:pPr>
            <w:r>
              <w:t>0.03</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2</w:t>
            </w:r>
          </w:p>
        </w:tc>
        <w:tc>
          <w:tcPr>
            <w:tcW w:w="850" w:type="dxa"/>
            <w:vAlign w:val="center"/>
          </w:tcPr>
          <w:p>
            <w:pPr>
              <w:pStyle w:val="13"/>
            </w:pPr>
            <w:r>
              <w:t>0.55</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辆</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258.80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办公用房物业管理服务费</w:t>
            </w:r>
          </w:p>
        </w:tc>
        <w:tc>
          <w:tcPr>
            <w:tcW w:w="964" w:type="dxa"/>
            <w:vAlign w:val="center"/>
          </w:tcPr>
          <w:p>
            <w:pPr>
              <w:pStyle w:val="13"/>
            </w:pPr>
            <w:r>
              <w:t>75.00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6.00</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31</w:t>
            </w:r>
          </w:p>
        </w:tc>
        <w:tc>
          <w:tcPr>
            <w:tcW w:w="850" w:type="dxa"/>
            <w:vAlign w:val="center"/>
          </w:tcPr>
          <w:p>
            <w:pPr>
              <w:pStyle w:val="13"/>
            </w:pPr>
            <w:r>
              <w:t>0.40</w:t>
            </w:r>
          </w:p>
        </w:tc>
        <w:tc>
          <w:tcPr>
            <w:tcW w:w="964" w:type="dxa"/>
            <w:vAlign w:val="center"/>
          </w:tcPr>
          <w:p>
            <w:pPr>
              <w:pStyle w:val="13"/>
            </w:pPr>
            <w:r>
              <w:t>12.40</w:t>
            </w:r>
          </w:p>
        </w:tc>
        <w:tc>
          <w:tcPr>
            <w:tcW w:w="964" w:type="dxa"/>
            <w:vAlign w:val="center"/>
          </w:tcPr>
          <w:p>
            <w:pPr>
              <w:pStyle w:val="13"/>
            </w:pPr>
            <w:r>
              <w:t>12.40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防火墙</w:t>
            </w:r>
          </w:p>
        </w:tc>
        <w:tc>
          <w:tcPr>
            <w:tcW w:w="1134" w:type="dxa"/>
            <w:vAlign w:val="center"/>
          </w:tcPr>
          <w:p>
            <w:pPr>
              <w:pStyle w:val="14"/>
            </w:pPr>
            <w:r>
              <w:t>A02010301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8.10</w:t>
            </w:r>
          </w:p>
        </w:tc>
        <w:tc>
          <w:tcPr>
            <w:tcW w:w="964" w:type="dxa"/>
            <w:vAlign w:val="center"/>
          </w:tcPr>
          <w:p>
            <w:pPr>
              <w:pStyle w:val="13"/>
            </w:pPr>
            <w:r>
              <w:t>8.10</w:t>
            </w:r>
          </w:p>
        </w:tc>
        <w:tc>
          <w:tcPr>
            <w:tcW w:w="964" w:type="dxa"/>
            <w:vAlign w:val="center"/>
          </w:tcPr>
          <w:p>
            <w:pPr>
              <w:pStyle w:val="13"/>
            </w:pPr>
            <w:r>
              <w:t>8.10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防火墙</w:t>
            </w:r>
          </w:p>
        </w:tc>
        <w:tc>
          <w:tcPr>
            <w:tcW w:w="1134" w:type="dxa"/>
            <w:vAlign w:val="center"/>
          </w:tcPr>
          <w:p>
            <w:pPr>
              <w:pStyle w:val="14"/>
            </w:pPr>
            <w:r>
              <w:t>A02010301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8.10</w:t>
            </w:r>
          </w:p>
        </w:tc>
        <w:tc>
          <w:tcPr>
            <w:tcW w:w="964" w:type="dxa"/>
            <w:vAlign w:val="center"/>
          </w:tcPr>
          <w:p>
            <w:pPr>
              <w:pStyle w:val="13"/>
            </w:pPr>
            <w:r>
              <w:t>8.10</w:t>
            </w:r>
          </w:p>
        </w:tc>
        <w:tc>
          <w:tcPr>
            <w:tcW w:w="964" w:type="dxa"/>
            <w:vAlign w:val="center"/>
          </w:tcPr>
          <w:p>
            <w:pPr>
              <w:pStyle w:val="13"/>
            </w:pPr>
            <w:r>
              <w:t>8.10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入侵防御设备</w:t>
            </w:r>
          </w:p>
        </w:tc>
        <w:tc>
          <w:tcPr>
            <w:tcW w:w="1134" w:type="dxa"/>
            <w:vAlign w:val="center"/>
          </w:tcPr>
          <w:p>
            <w:pPr>
              <w:pStyle w:val="14"/>
            </w:pPr>
            <w:r>
              <w:t>A02010303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9.50</w:t>
            </w:r>
          </w:p>
        </w:tc>
        <w:tc>
          <w:tcPr>
            <w:tcW w:w="964" w:type="dxa"/>
            <w:vAlign w:val="center"/>
          </w:tcPr>
          <w:p>
            <w:pPr>
              <w:pStyle w:val="13"/>
            </w:pPr>
            <w:r>
              <w:t>9.50</w:t>
            </w:r>
          </w:p>
        </w:tc>
        <w:tc>
          <w:tcPr>
            <w:tcW w:w="964" w:type="dxa"/>
            <w:vAlign w:val="center"/>
          </w:tcPr>
          <w:p>
            <w:pPr>
              <w:pStyle w:val="13"/>
            </w:pPr>
            <w:r>
              <w:t>9.50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网闸</w:t>
            </w:r>
          </w:p>
        </w:tc>
        <w:tc>
          <w:tcPr>
            <w:tcW w:w="1134" w:type="dxa"/>
            <w:vAlign w:val="center"/>
          </w:tcPr>
          <w:p>
            <w:pPr>
              <w:pStyle w:val="14"/>
            </w:pPr>
            <w:r>
              <w:t>A02010310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15.30</w:t>
            </w:r>
          </w:p>
        </w:tc>
        <w:tc>
          <w:tcPr>
            <w:tcW w:w="964" w:type="dxa"/>
            <w:vAlign w:val="center"/>
          </w:tcPr>
          <w:p>
            <w:pPr>
              <w:pStyle w:val="13"/>
            </w:pPr>
            <w:r>
              <w:t>30.60</w:t>
            </w:r>
          </w:p>
        </w:tc>
        <w:tc>
          <w:tcPr>
            <w:tcW w:w="964" w:type="dxa"/>
            <w:vAlign w:val="center"/>
          </w:tcPr>
          <w:p>
            <w:pPr>
              <w:pStyle w:val="13"/>
            </w:pPr>
            <w:r>
              <w:t>30.60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虚拟专用网（VPN）设备</w:t>
            </w:r>
          </w:p>
        </w:tc>
        <w:tc>
          <w:tcPr>
            <w:tcW w:w="1134" w:type="dxa"/>
            <w:vAlign w:val="center"/>
          </w:tcPr>
          <w:p>
            <w:pPr>
              <w:pStyle w:val="14"/>
            </w:pPr>
            <w:r>
              <w:t>A02010313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9.80</w:t>
            </w:r>
          </w:p>
        </w:tc>
        <w:tc>
          <w:tcPr>
            <w:tcW w:w="964" w:type="dxa"/>
            <w:vAlign w:val="center"/>
          </w:tcPr>
          <w:p>
            <w:pPr>
              <w:pStyle w:val="13"/>
            </w:pPr>
            <w:r>
              <w:t>9.80</w:t>
            </w: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其他信息安全设备</w:t>
            </w:r>
          </w:p>
        </w:tc>
        <w:tc>
          <w:tcPr>
            <w:tcW w:w="1134" w:type="dxa"/>
            <w:vAlign w:val="center"/>
          </w:tcPr>
          <w:p>
            <w:pPr>
              <w:pStyle w:val="14"/>
            </w:pPr>
            <w:r>
              <w:t>A02010399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11.70</w:t>
            </w:r>
          </w:p>
        </w:tc>
        <w:tc>
          <w:tcPr>
            <w:tcW w:w="964" w:type="dxa"/>
            <w:vAlign w:val="center"/>
          </w:tcPr>
          <w:p>
            <w:pPr>
              <w:pStyle w:val="13"/>
            </w:pPr>
            <w:r>
              <w:t>11.70</w:t>
            </w:r>
          </w:p>
        </w:tc>
        <w:tc>
          <w:tcPr>
            <w:tcW w:w="964" w:type="dxa"/>
            <w:vAlign w:val="center"/>
          </w:tcPr>
          <w:p>
            <w:pPr>
              <w:pStyle w:val="13"/>
            </w:pPr>
            <w:r>
              <w:t>11.70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磁盘阵列</w:t>
            </w:r>
          </w:p>
        </w:tc>
        <w:tc>
          <w:tcPr>
            <w:tcW w:w="1134" w:type="dxa"/>
            <w:vAlign w:val="center"/>
          </w:tcPr>
          <w:p>
            <w:pPr>
              <w:pStyle w:val="14"/>
            </w:pPr>
            <w:r>
              <w:t>A02010502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19.00</w:t>
            </w:r>
          </w:p>
        </w:tc>
        <w:tc>
          <w:tcPr>
            <w:tcW w:w="964" w:type="dxa"/>
            <w:vAlign w:val="center"/>
          </w:tcPr>
          <w:p>
            <w:pPr>
              <w:pStyle w:val="13"/>
            </w:pPr>
            <w:r>
              <w:t>19.00</w:t>
            </w:r>
          </w:p>
        </w:tc>
        <w:tc>
          <w:tcPr>
            <w:tcW w:w="964" w:type="dxa"/>
            <w:vAlign w:val="center"/>
          </w:tcPr>
          <w:p>
            <w:pPr>
              <w:pStyle w:val="13"/>
            </w:pPr>
            <w:r>
              <w:t>19.00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高拍仪</w:t>
            </w:r>
          </w:p>
        </w:tc>
        <w:tc>
          <w:tcPr>
            <w:tcW w:w="1134" w:type="dxa"/>
            <w:vAlign w:val="center"/>
          </w:tcPr>
          <w:p>
            <w:pPr>
              <w:pStyle w:val="14"/>
            </w:pPr>
            <w:r>
              <w:t>A02021120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0.40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视频监控设备</w:t>
            </w:r>
          </w:p>
        </w:tc>
        <w:tc>
          <w:tcPr>
            <w:tcW w:w="1134" w:type="dxa"/>
            <w:vAlign w:val="center"/>
          </w:tcPr>
          <w:p>
            <w:pPr>
              <w:pStyle w:val="14"/>
            </w:pPr>
            <w:r>
              <w:t>A02091107</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23.70</w:t>
            </w:r>
          </w:p>
        </w:tc>
        <w:tc>
          <w:tcPr>
            <w:tcW w:w="964" w:type="dxa"/>
            <w:vAlign w:val="center"/>
          </w:tcPr>
          <w:p>
            <w:pPr>
              <w:pStyle w:val="13"/>
            </w:pPr>
            <w:r>
              <w:t>23.70</w:t>
            </w:r>
          </w:p>
        </w:tc>
        <w:tc>
          <w:tcPr>
            <w:tcW w:w="964" w:type="dxa"/>
            <w:vAlign w:val="center"/>
          </w:tcPr>
          <w:p>
            <w:pPr>
              <w:pStyle w:val="13"/>
            </w:pPr>
            <w:r>
              <w:t>23.70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测试评估认证服务</w:t>
            </w:r>
          </w:p>
        </w:tc>
        <w:tc>
          <w:tcPr>
            <w:tcW w:w="1134" w:type="dxa"/>
            <w:vAlign w:val="center"/>
          </w:tcPr>
          <w:p>
            <w:pPr>
              <w:pStyle w:val="14"/>
            </w:pPr>
            <w:r>
              <w:t>C16060000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44.50</w:t>
            </w:r>
          </w:p>
        </w:tc>
        <w:tc>
          <w:tcPr>
            <w:tcW w:w="964" w:type="dxa"/>
            <w:vAlign w:val="center"/>
          </w:tcPr>
          <w:p>
            <w:pPr>
              <w:pStyle w:val="13"/>
            </w:pPr>
            <w:r>
              <w:t>44.50</w:t>
            </w:r>
          </w:p>
        </w:tc>
        <w:tc>
          <w:tcPr>
            <w:tcW w:w="964" w:type="dxa"/>
            <w:vAlign w:val="center"/>
          </w:tcPr>
          <w:p>
            <w:pPr>
              <w:pStyle w:val="13"/>
            </w:pPr>
            <w:r>
              <w:t>44.50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151.00</w:t>
            </w:r>
          </w:p>
        </w:tc>
        <w:tc>
          <w:tcPr>
            <w:tcW w:w="964" w:type="dxa"/>
            <w:vAlign w:val="center"/>
          </w:tcPr>
          <w:p>
            <w:pPr>
              <w:pStyle w:val="13"/>
            </w:pPr>
            <w:r>
              <w:t>151.00</w:t>
            </w:r>
          </w:p>
        </w:tc>
        <w:tc>
          <w:tcPr>
            <w:tcW w:w="964" w:type="dxa"/>
            <w:vAlign w:val="center"/>
          </w:tcPr>
          <w:p>
            <w:pPr>
              <w:pStyle w:val="13"/>
            </w:pPr>
            <w:r>
              <w:t>151.00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安全运维服务</w:t>
            </w:r>
          </w:p>
        </w:tc>
        <w:tc>
          <w:tcPr>
            <w:tcW w:w="1134" w:type="dxa"/>
            <w:vAlign w:val="center"/>
          </w:tcPr>
          <w:p>
            <w:pPr>
              <w:pStyle w:val="14"/>
            </w:pPr>
            <w:r>
              <w:t>C16070400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80.90</w:t>
            </w:r>
          </w:p>
        </w:tc>
        <w:tc>
          <w:tcPr>
            <w:tcW w:w="964" w:type="dxa"/>
            <w:vAlign w:val="center"/>
          </w:tcPr>
          <w:p>
            <w:pPr>
              <w:pStyle w:val="13"/>
            </w:pPr>
            <w:r>
              <w:t>80.90</w:t>
            </w:r>
          </w:p>
        </w:tc>
        <w:tc>
          <w:tcPr>
            <w:tcW w:w="964" w:type="dxa"/>
            <w:vAlign w:val="center"/>
          </w:tcPr>
          <w:p>
            <w:pPr>
              <w:pStyle w:val="13"/>
            </w:pPr>
            <w:r>
              <w:t>80.90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其他运行维护服务</w:t>
            </w:r>
          </w:p>
        </w:tc>
        <w:tc>
          <w:tcPr>
            <w:tcW w:w="1134" w:type="dxa"/>
            <w:vAlign w:val="center"/>
          </w:tcPr>
          <w:p>
            <w:pPr>
              <w:pStyle w:val="14"/>
            </w:pPr>
            <w:r>
              <w:t>C16079900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住房公积金业务管理信息系统运行维护费</w:t>
            </w:r>
          </w:p>
        </w:tc>
        <w:tc>
          <w:tcPr>
            <w:tcW w:w="964" w:type="dxa"/>
            <w:vAlign w:val="center"/>
          </w:tcPr>
          <w:p>
            <w:pPr>
              <w:pStyle w:val="13"/>
            </w:pPr>
            <w:r>
              <w:t>570.20</w:t>
            </w:r>
          </w:p>
        </w:tc>
        <w:tc>
          <w:tcPr>
            <w:tcW w:w="1134" w:type="dxa"/>
            <w:vAlign w:val="center"/>
          </w:tcPr>
          <w:p>
            <w:pPr>
              <w:pStyle w:val="14"/>
            </w:pPr>
            <w:r>
              <w:t>网络接入服务</w:t>
            </w:r>
          </w:p>
        </w:tc>
        <w:tc>
          <w:tcPr>
            <w:tcW w:w="1134" w:type="dxa"/>
            <w:vAlign w:val="center"/>
          </w:tcPr>
          <w:p>
            <w:pPr>
              <w:pStyle w:val="14"/>
            </w:pPr>
            <w:r>
              <w:t>C17010200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23.90</w:t>
            </w:r>
          </w:p>
        </w:tc>
        <w:tc>
          <w:tcPr>
            <w:tcW w:w="964" w:type="dxa"/>
            <w:vAlign w:val="center"/>
          </w:tcPr>
          <w:p>
            <w:pPr>
              <w:pStyle w:val="13"/>
            </w:pPr>
            <w:r>
              <w:t>23.90</w:t>
            </w:r>
          </w:p>
        </w:tc>
        <w:tc>
          <w:tcPr>
            <w:tcW w:w="964" w:type="dxa"/>
            <w:vAlign w:val="center"/>
          </w:tcPr>
          <w:p>
            <w:pPr>
              <w:pStyle w:val="13"/>
            </w:pPr>
            <w:r>
              <w:t>23.90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河北省省直住房资金中心（含所属单位）上年末固定资产金额为</w:t>
      </w:r>
      <w:r>
        <w:rPr>
          <w:rFonts w:hint="eastAsia" w:asciiTheme="minorEastAsia" w:hAnsiTheme="minorEastAsia" w:eastAsiaTheme="minorEastAsia"/>
          <w:color w:val="000000"/>
          <w:sz w:val="28"/>
          <w:lang w:eastAsia="zh-CN"/>
        </w:rPr>
        <w:t>1534.28</w:t>
      </w:r>
      <w:r>
        <w:rPr>
          <w:rFonts w:eastAsia="方正仿宋_GBK"/>
          <w:color w:val="000000"/>
          <w:sz w:val="28"/>
        </w:rPr>
        <w:t>万元（详见下表）。本年度拟购置固定资产总额为157.30万元，已按要求列入政府采购预算，详见政府采购预算表。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431河北省省直住房资金中心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asciiTheme="minorEastAsia" w:hAnsiTheme="minorEastAsia" w:eastAsiaTheme="minorEastAsia"/>
                <w:lang w:eastAsia="zh-CN"/>
              </w:rPr>
              <w:t>1534.28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rPr>
                <w:rFonts w:hint="eastAsia" w:asciiTheme="minorEastAsia" w:hAnsiTheme="minorEastAsia" w:eastAsiaTheme="minorEastAsia"/>
                <w:lang w:eastAsia="zh-CN"/>
              </w:rPr>
              <w:t>21</w:t>
            </w:r>
          </w:p>
        </w:tc>
        <w:tc>
          <w:tcPr>
            <w:tcW w:w="2835" w:type="dxa"/>
            <w:vAlign w:val="center"/>
          </w:tcPr>
          <w:p>
            <w:pPr>
              <w:pStyle w:val="13"/>
            </w:pPr>
            <w:r>
              <w:rPr>
                <w:rFonts w:hint="eastAsia" w:asciiTheme="minorEastAsia" w:hAnsiTheme="minorEastAsia" w:eastAsiaTheme="minorEastAsia"/>
                <w:lang w:eastAsia="zh-CN"/>
              </w:rPr>
              <w:t>797.78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rPr>
                <w:rFonts w:hint="eastAsia" w:asciiTheme="minorEastAsia" w:hAnsiTheme="minorEastAsia" w:eastAsiaTheme="minorEastAsia"/>
                <w:lang w:eastAsia="zh-CN"/>
              </w:rPr>
              <w:t>698</w:t>
            </w:r>
          </w:p>
        </w:tc>
        <w:tc>
          <w:tcPr>
            <w:tcW w:w="2835" w:type="dxa"/>
            <w:vAlign w:val="center"/>
          </w:tcPr>
          <w:p>
            <w:pPr>
              <w:pStyle w:val="13"/>
            </w:pPr>
            <w:r>
              <w:rPr>
                <w:rFonts w:hint="eastAsia" w:asciiTheme="minorEastAsia" w:hAnsiTheme="minorEastAsia" w:eastAsiaTheme="minorEastAsia"/>
                <w:lang w:eastAsia="zh-CN"/>
              </w:rPr>
              <w:t>693.77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zFlMTFiY2NkNGUyMjlmNTg3YmU1ZmZhOWI0ODcifQ=="/>
  </w:docVars>
  <w:rsids>
    <w:rsidRoot w:val="00B20CCE"/>
    <w:rsid w:val="00014D0C"/>
    <w:rsid w:val="00063E08"/>
    <w:rsid w:val="000E1347"/>
    <w:rsid w:val="00122E17"/>
    <w:rsid w:val="00173EEA"/>
    <w:rsid w:val="00256093"/>
    <w:rsid w:val="003140CE"/>
    <w:rsid w:val="00525793"/>
    <w:rsid w:val="006C5552"/>
    <w:rsid w:val="00731A48"/>
    <w:rsid w:val="009C5025"/>
    <w:rsid w:val="00B20CCE"/>
    <w:rsid w:val="00EC5C4C"/>
    <w:rsid w:val="2BBE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27"/>
    <w:semiHidden/>
    <w:unhideWhenUsed/>
    <w:uiPriority w:val="99"/>
    <w:rPr>
      <w:sz w:val="18"/>
      <w:szCs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character" w:customStyle="1" w:styleId="27">
    <w:name w:val="批注框文本 字符"/>
    <w:basedOn w:val="8"/>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2024-01-23T09:39:43Z</dcterms:created>
  <dcterms:modified xsi:type="dcterms:W3CDTF">2024-01-23T01:39:43Z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2024-01-23T09:39:42Z</dcterms:created>
  <dcterms:modified xsi:type="dcterms:W3CDTF">2024-01-23T01:39:42Z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2024-01-23T09:39:44Z</dcterms:created>
  <dcterms:modified xsi:type="dcterms:W3CDTF">2024-01-23T01:39:44Z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2024-01-23T09:39:42Z</dcterms:created>
  <dcterms:modified xsi:type="dcterms:W3CDTF">2024-01-23T01:39:42Z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2024-01-23T09:39:43Z</dcterms:created>
  <dcterms:modified xsi:type="dcterms:W3CDTF">2024-01-23T01:39:43Z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2024-01-23T09:39:40Z</dcterms:created>
  <dcterms:modified xsi:type="dcterms:W3CDTF">2024-01-23T01:39:40Z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2024-01-23T09:39:42Z</dcterms:created>
  <dcterms:modified xsi:type="dcterms:W3CDTF">2024-01-23T01:39:42Z</dcterms:modified>
</cp:coreProperties>
</file>

<file path=customXml/itemProps1.xml><?xml version="1.0" encoding="utf-8"?>
<ds:datastoreItem xmlns:ds="http://schemas.openxmlformats.org/officeDocument/2006/customXml" ds:itemID="{F53FC224-49F9-48B5-AC6D-B385B237CC3F}">
  <ds:schemaRefs/>
</ds:datastoreItem>
</file>

<file path=customXml/itemProps10.xml><?xml version="1.0" encoding="utf-8"?>
<ds:datastoreItem xmlns:ds="http://schemas.openxmlformats.org/officeDocument/2006/customXml" ds:itemID="{6A343469-DFAD-410D-BA17-3FF62908CF29}">
  <ds:schemaRefs/>
</ds:datastoreItem>
</file>

<file path=customXml/itemProps11.xml><?xml version="1.0" encoding="utf-8"?>
<ds:datastoreItem xmlns:ds="http://schemas.openxmlformats.org/officeDocument/2006/customXml" ds:itemID="{5E126F09-AEE0-47A5-AD7F-0523559F5866}">
  <ds:schemaRefs/>
</ds:datastoreItem>
</file>

<file path=customXml/itemProps12.xml><?xml version="1.0" encoding="utf-8"?>
<ds:datastoreItem xmlns:ds="http://schemas.openxmlformats.org/officeDocument/2006/customXml" ds:itemID="{BC7B4456-BBB1-415D-8EC7-C9BA9EBA1FAA}">
  <ds:schemaRefs/>
</ds:datastoreItem>
</file>

<file path=customXml/itemProps13.xml><?xml version="1.0" encoding="utf-8"?>
<ds:datastoreItem xmlns:ds="http://schemas.openxmlformats.org/officeDocument/2006/customXml" ds:itemID="{51514655-BFEA-4D11-BAC2-224ACFD1C0E5}">
  <ds:schemaRefs/>
</ds:datastoreItem>
</file>

<file path=customXml/itemProps14.xml><?xml version="1.0" encoding="utf-8"?>
<ds:datastoreItem xmlns:ds="http://schemas.openxmlformats.org/officeDocument/2006/customXml" ds:itemID="{96975B90-3E9D-48E8-BF04-2E388C652990}">
  <ds:schemaRefs/>
</ds:datastoreItem>
</file>

<file path=customXml/itemProps2.xml><?xml version="1.0" encoding="utf-8"?>
<ds:datastoreItem xmlns:ds="http://schemas.openxmlformats.org/officeDocument/2006/customXml" ds:itemID="{F783E47D-9620-4A2C-A19F-CE5FA1C05885}">
  <ds:schemaRefs/>
</ds:datastoreItem>
</file>

<file path=customXml/itemProps3.xml><?xml version="1.0" encoding="utf-8"?>
<ds:datastoreItem xmlns:ds="http://schemas.openxmlformats.org/officeDocument/2006/customXml" ds:itemID="{5D5CF818-0CC8-418D-A226-B1A305D0673D}">
  <ds:schemaRefs/>
</ds:datastoreItem>
</file>

<file path=customXml/itemProps4.xml><?xml version="1.0" encoding="utf-8"?>
<ds:datastoreItem xmlns:ds="http://schemas.openxmlformats.org/officeDocument/2006/customXml" ds:itemID="{15048B9C-C521-4F26-93A1-2CD1EDB4DE35}">
  <ds:schemaRefs/>
</ds:datastoreItem>
</file>

<file path=customXml/itemProps5.xml><?xml version="1.0" encoding="utf-8"?>
<ds:datastoreItem xmlns:ds="http://schemas.openxmlformats.org/officeDocument/2006/customXml" ds:itemID="{37008D0E-5124-478D-A329-A1AC4F1817DA}">
  <ds:schemaRefs/>
</ds:datastoreItem>
</file>

<file path=customXml/itemProps6.xml><?xml version="1.0" encoding="utf-8"?>
<ds:datastoreItem xmlns:ds="http://schemas.openxmlformats.org/officeDocument/2006/customXml" ds:itemID="{D2D8E2CC-F9AF-4D58-AB6A-2EE101D031C0}">
  <ds:schemaRefs/>
</ds:datastoreItem>
</file>

<file path=customXml/itemProps7.xml><?xml version="1.0" encoding="utf-8"?>
<ds:datastoreItem xmlns:ds="http://schemas.openxmlformats.org/officeDocument/2006/customXml" ds:itemID="{4500F314-B76B-40C1-9226-AE5855565708}">
  <ds:schemaRefs/>
</ds:datastoreItem>
</file>

<file path=customXml/itemProps8.xml><?xml version="1.0" encoding="utf-8"?>
<ds:datastoreItem xmlns:ds="http://schemas.openxmlformats.org/officeDocument/2006/customXml" ds:itemID="{5E3EC59A-B48C-410A-8360-6FD06BA6F306}">
  <ds:schemaRefs/>
</ds:datastoreItem>
</file>

<file path=customXml/itemProps9.xml><?xml version="1.0" encoding="utf-8"?>
<ds:datastoreItem xmlns:ds="http://schemas.openxmlformats.org/officeDocument/2006/customXml" ds:itemID="{D80C19E7-67AB-4DAE-BFCD-69BF1BAB9D53}">
  <ds:schemaRefs/>
</ds:datastoreItem>
</file>

<file path=docProps/app.xml><?xml version="1.0" encoding="utf-8"?>
<Properties xmlns="http://schemas.openxmlformats.org/officeDocument/2006/extended-properties" xmlns:vt="http://schemas.openxmlformats.org/officeDocument/2006/docPropsVTypes">
  <Template>Normal</Template>
  <Pages>36</Pages>
  <Words>2540</Words>
  <Characters>14480</Characters>
  <Lines>120</Lines>
  <Paragraphs>33</Paragraphs>
  <TotalTime>11</TotalTime>
  <ScaleCrop>false</ScaleCrop>
  <LinksUpToDate>false</LinksUpToDate>
  <CharactersWithSpaces>16987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2024-01-23T09:39:00Z</dcterms:created>
  <dc:creator>LU</dc:creator>
  <cp:lastModifiedBy>Mciisk.</cp:lastModifiedBy>
  <cp:lastPrinted>2024-01-24T01:23:00Z</cp:lastPrinted>
  <dcterms:modified xsi:type="dcterms:W3CDTF">2024-04-28T07:30:12Z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254BE0141BA84FB6BCF46AA94105F0ED_13</vt:lpwstr>
  </property>
</Properties>
</file>